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1B05B8" w14:textId="77777777" w:rsidR="00875AF7" w:rsidRDefault="00DA6DEE" w:rsidP="00DA6DEE">
      <w:pPr>
        <w:jc w:val="center"/>
      </w:pPr>
      <w:bookmarkStart w:id="0" w:name="_GoBack"/>
      <w:bookmarkEnd w:id="0"/>
      <w:r w:rsidRPr="00DA6DEE">
        <w:rPr>
          <w:b/>
          <w:i/>
          <w:u w:val="single"/>
        </w:rPr>
        <w:t>SFGH Scanning Protocols</w:t>
      </w:r>
    </w:p>
    <w:p w14:paraId="38236C53" w14:textId="77777777" w:rsidR="00B226C8" w:rsidRPr="00FE34FE" w:rsidRDefault="00B226C8" w:rsidP="00B226C8">
      <w:pPr>
        <w:jc w:val="center"/>
        <w:rPr>
          <w:color w:val="3366FF"/>
          <w:sz w:val="22"/>
          <w:szCs w:val="22"/>
        </w:rPr>
      </w:pPr>
      <w:r w:rsidRPr="00FE34FE">
        <w:rPr>
          <w:sz w:val="22"/>
          <w:szCs w:val="22"/>
        </w:rPr>
        <w:t>(Adapted from the ACEP</w:t>
      </w:r>
      <w:r>
        <w:rPr>
          <w:sz w:val="22"/>
          <w:szCs w:val="22"/>
        </w:rPr>
        <w:t xml:space="preserve"> Ultrasound Imaging Criteria Compendium)</w:t>
      </w:r>
    </w:p>
    <w:p w14:paraId="04B718F9" w14:textId="77777777" w:rsidR="00DA6DEE" w:rsidRDefault="00DA6DEE" w:rsidP="00DA6DEE">
      <w:pPr>
        <w:jc w:val="center"/>
      </w:pPr>
    </w:p>
    <w:p w14:paraId="7F45B39D" w14:textId="77777777" w:rsidR="00DA6DEE" w:rsidRPr="00A66893" w:rsidRDefault="00DA6DEE" w:rsidP="00DA6DEE">
      <w:pPr>
        <w:rPr>
          <w:b/>
          <w:i/>
          <w:color w:val="3366FF"/>
          <w:sz w:val="48"/>
          <w:szCs w:val="48"/>
        </w:rPr>
      </w:pPr>
      <w:r w:rsidRPr="00A66893">
        <w:rPr>
          <w:b/>
          <w:i/>
          <w:color w:val="3366FF"/>
          <w:sz w:val="48"/>
          <w:szCs w:val="48"/>
        </w:rPr>
        <w:t>Aorta</w:t>
      </w:r>
    </w:p>
    <w:p w14:paraId="30088B59" w14:textId="77777777" w:rsidR="00DA6DEE" w:rsidRDefault="00DA6DEE" w:rsidP="00DA6DEE"/>
    <w:p w14:paraId="52D6B2EB" w14:textId="77777777" w:rsidR="00DA6DEE" w:rsidRDefault="00DA6DEE" w:rsidP="00DA6DEE">
      <w:pPr>
        <w:pStyle w:val="Default"/>
      </w:pPr>
    </w:p>
    <w:p w14:paraId="119AB631" w14:textId="77777777" w:rsidR="00DA6DEE" w:rsidRPr="00DA6DEE" w:rsidRDefault="00DA6DEE" w:rsidP="00DA6DEE">
      <w:pPr>
        <w:pStyle w:val="Default"/>
        <w:rPr>
          <w:b/>
          <w:sz w:val="22"/>
          <w:szCs w:val="22"/>
          <w:u w:val="single"/>
        </w:rPr>
      </w:pPr>
      <w:r w:rsidRPr="00DA6DEE">
        <w:rPr>
          <w:b/>
          <w:sz w:val="22"/>
          <w:szCs w:val="22"/>
          <w:u w:val="single"/>
        </w:rPr>
        <w:t xml:space="preserve">Indications </w:t>
      </w:r>
    </w:p>
    <w:p w14:paraId="774C40F3" w14:textId="77777777" w:rsidR="00DA6DEE" w:rsidRPr="00DA6DEE" w:rsidRDefault="00DA6DEE" w:rsidP="00DA6DEE">
      <w:pPr>
        <w:pStyle w:val="Default"/>
        <w:numPr>
          <w:ilvl w:val="0"/>
          <w:numId w:val="3"/>
        </w:numPr>
        <w:rPr>
          <w:b/>
          <w:sz w:val="22"/>
          <w:szCs w:val="22"/>
        </w:rPr>
      </w:pPr>
      <w:r w:rsidRPr="00DA6DEE">
        <w:rPr>
          <w:b/>
          <w:sz w:val="22"/>
          <w:szCs w:val="22"/>
        </w:rPr>
        <w:t xml:space="preserve">Primary </w:t>
      </w:r>
    </w:p>
    <w:p w14:paraId="4364B199" w14:textId="77777777" w:rsidR="00DA6DEE" w:rsidRDefault="00DA6DEE" w:rsidP="00DA6DEE">
      <w:pPr>
        <w:pStyle w:val="Default"/>
        <w:numPr>
          <w:ilvl w:val="1"/>
          <w:numId w:val="3"/>
        </w:numPr>
        <w:rPr>
          <w:sz w:val="22"/>
          <w:szCs w:val="22"/>
        </w:rPr>
      </w:pPr>
      <w:r>
        <w:rPr>
          <w:sz w:val="22"/>
          <w:szCs w:val="22"/>
        </w:rPr>
        <w:t xml:space="preserve">The rapid evaluation of the abdominal aorta from the diaphragmatic hiatus to the aortic bifurcation for evidence of aneurysm. </w:t>
      </w:r>
    </w:p>
    <w:p w14:paraId="08FE1639" w14:textId="77777777" w:rsidR="00DA6DEE" w:rsidRPr="00DA6DEE" w:rsidRDefault="00DA6DEE" w:rsidP="00DA6DEE">
      <w:pPr>
        <w:pStyle w:val="Default"/>
        <w:numPr>
          <w:ilvl w:val="0"/>
          <w:numId w:val="3"/>
        </w:numPr>
        <w:rPr>
          <w:b/>
          <w:sz w:val="22"/>
          <w:szCs w:val="22"/>
        </w:rPr>
      </w:pPr>
      <w:r w:rsidRPr="00DA6DEE">
        <w:rPr>
          <w:b/>
          <w:sz w:val="22"/>
          <w:szCs w:val="22"/>
        </w:rPr>
        <w:t xml:space="preserve">Extended/Advanced </w:t>
      </w:r>
    </w:p>
    <w:p w14:paraId="16A741CE" w14:textId="77777777" w:rsidR="00DA6DEE" w:rsidRDefault="00DA6DEE" w:rsidP="00DA6DEE">
      <w:pPr>
        <w:pStyle w:val="Default"/>
        <w:numPr>
          <w:ilvl w:val="1"/>
          <w:numId w:val="3"/>
        </w:numPr>
        <w:spacing w:after="23"/>
        <w:rPr>
          <w:sz w:val="22"/>
          <w:szCs w:val="22"/>
        </w:rPr>
      </w:pPr>
      <w:proofErr w:type="spellStart"/>
      <w:r>
        <w:rPr>
          <w:sz w:val="22"/>
          <w:szCs w:val="22"/>
        </w:rPr>
        <w:t>Intraperitoneal</w:t>
      </w:r>
      <w:proofErr w:type="spellEnd"/>
      <w:r>
        <w:rPr>
          <w:sz w:val="22"/>
          <w:szCs w:val="22"/>
        </w:rPr>
        <w:t xml:space="preserve"> free fluid evaluation in the event that AAA is identified </w:t>
      </w:r>
    </w:p>
    <w:p w14:paraId="29943F0C" w14:textId="77777777" w:rsidR="00DA6DEE" w:rsidRDefault="00DA6DEE" w:rsidP="00DA6DEE">
      <w:pPr>
        <w:pStyle w:val="Default"/>
        <w:numPr>
          <w:ilvl w:val="1"/>
          <w:numId w:val="3"/>
        </w:numPr>
        <w:spacing w:after="23"/>
        <w:rPr>
          <w:sz w:val="22"/>
          <w:szCs w:val="22"/>
        </w:rPr>
      </w:pPr>
      <w:r>
        <w:rPr>
          <w:sz w:val="22"/>
          <w:szCs w:val="22"/>
        </w:rPr>
        <w:t xml:space="preserve">Abdominal aortic dissection </w:t>
      </w:r>
    </w:p>
    <w:p w14:paraId="37438694" w14:textId="77777777" w:rsidR="00DA6DEE" w:rsidRPr="00DA6DEE" w:rsidRDefault="00DA6DEE" w:rsidP="00DA6DEE">
      <w:pPr>
        <w:pStyle w:val="Default"/>
        <w:numPr>
          <w:ilvl w:val="1"/>
          <w:numId w:val="3"/>
        </w:numPr>
        <w:spacing w:after="23"/>
        <w:rPr>
          <w:sz w:val="22"/>
          <w:szCs w:val="22"/>
        </w:rPr>
      </w:pPr>
      <w:r>
        <w:rPr>
          <w:sz w:val="22"/>
          <w:szCs w:val="22"/>
        </w:rPr>
        <w:t xml:space="preserve">Thoracic aortic dissection </w:t>
      </w:r>
      <w:r w:rsidRPr="00DA6DEE">
        <w:rPr>
          <w:sz w:val="22"/>
          <w:szCs w:val="22"/>
        </w:rPr>
        <w:t xml:space="preserve"> </w:t>
      </w:r>
    </w:p>
    <w:p w14:paraId="348E9FBA" w14:textId="77777777" w:rsidR="00DA6DEE" w:rsidRDefault="00DA6DEE" w:rsidP="00DA6DEE">
      <w:pPr>
        <w:pStyle w:val="Default"/>
        <w:numPr>
          <w:ilvl w:val="1"/>
          <w:numId w:val="3"/>
        </w:numPr>
        <w:rPr>
          <w:sz w:val="22"/>
          <w:szCs w:val="22"/>
        </w:rPr>
      </w:pPr>
      <w:r>
        <w:rPr>
          <w:sz w:val="22"/>
          <w:szCs w:val="22"/>
        </w:rPr>
        <w:t xml:space="preserve">Iliac, splenic, and other abdominal artery aneurysms </w:t>
      </w:r>
    </w:p>
    <w:p w14:paraId="5E9272BE" w14:textId="77777777" w:rsidR="00DA6DEE" w:rsidRDefault="00DA6DEE" w:rsidP="00DA6DEE">
      <w:pPr>
        <w:pStyle w:val="Default"/>
        <w:rPr>
          <w:sz w:val="22"/>
          <w:szCs w:val="22"/>
        </w:rPr>
      </w:pPr>
    </w:p>
    <w:p w14:paraId="3348CA80" w14:textId="77777777" w:rsidR="00DA6DEE" w:rsidRPr="00DA6DEE" w:rsidRDefault="00DA6DEE" w:rsidP="00DA6DEE">
      <w:pPr>
        <w:pStyle w:val="Default"/>
        <w:numPr>
          <w:ilvl w:val="0"/>
          <w:numId w:val="3"/>
        </w:numPr>
        <w:rPr>
          <w:b/>
          <w:sz w:val="22"/>
          <w:szCs w:val="22"/>
        </w:rPr>
      </w:pPr>
      <w:r w:rsidRPr="00DA6DEE">
        <w:rPr>
          <w:b/>
          <w:sz w:val="22"/>
          <w:szCs w:val="22"/>
        </w:rPr>
        <w:t xml:space="preserve">Contraindications </w:t>
      </w:r>
    </w:p>
    <w:p w14:paraId="0A8D646C" w14:textId="77777777" w:rsidR="00DA6DEE" w:rsidRDefault="00DA6DEE" w:rsidP="00DA6DEE">
      <w:pPr>
        <w:pStyle w:val="Default"/>
        <w:numPr>
          <w:ilvl w:val="1"/>
          <w:numId w:val="3"/>
        </w:numPr>
        <w:rPr>
          <w:sz w:val="22"/>
          <w:szCs w:val="22"/>
        </w:rPr>
      </w:pPr>
      <w:r>
        <w:rPr>
          <w:sz w:val="22"/>
          <w:szCs w:val="22"/>
        </w:rPr>
        <w:t xml:space="preserve">There are no absolute contraindications to EUS of the abdominal aorta. There may be relative contraindications based on the patient’s clinical situation. </w:t>
      </w:r>
    </w:p>
    <w:p w14:paraId="6D52477E" w14:textId="77777777" w:rsidR="00DA6DEE" w:rsidRDefault="00DA6DEE" w:rsidP="00DA6DEE">
      <w:pPr>
        <w:pStyle w:val="Default"/>
        <w:rPr>
          <w:sz w:val="22"/>
          <w:szCs w:val="22"/>
        </w:rPr>
      </w:pPr>
    </w:p>
    <w:p w14:paraId="088D98D3" w14:textId="77777777" w:rsidR="00DA6DEE" w:rsidRPr="00DA6DEE" w:rsidRDefault="00DA6DEE" w:rsidP="00DA6DEE">
      <w:pPr>
        <w:pStyle w:val="Default"/>
        <w:numPr>
          <w:ilvl w:val="0"/>
          <w:numId w:val="3"/>
        </w:numPr>
        <w:rPr>
          <w:b/>
          <w:sz w:val="22"/>
          <w:szCs w:val="22"/>
        </w:rPr>
      </w:pPr>
      <w:r w:rsidRPr="00DA6DEE">
        <w:rPr>
          <w:b/>
          <w:sz w:val="22"/>
          <w:szCs w:val="22"/>
        </w:rPr>
        <w:t xml:space="preserve">Limitations </w:t>
      </w:r>
    </w:p>
    <w:p w14:paraId="3B2C876E" w14:textId="77777777" w:rsidR="00DA6DEE" w:rsidRDefault="00DA6DEE" w:rsidP="00DA6DEE">
      <w:pPr>
        <w:pStyle w:val="Default"/>
        <w:numPr>
          <w:ilvl w:val="1"/>
          <w:numId w:val="3"/>
        </w:numPr>
        <w:spacing w:after="21"/>
        <w:rPr>
          <w:sz w:val="22"/>
          <w:szCs w:val="22"/>
        </w:rPr>
      </w:pPr>
      <w:r>
        <w:rPr>
          <w:sz w:val="22"/>
          <w:szCs w:val="22"/>
        </w:rPr>
        <w:t xml:space="preserve">EUS of the aorta is a single component of the overall and ongoing resuscitation. Since it is a focused examination, EUS does not identify all abnormalities or diseases of the aorta. EUS, like other tests, does not replace clinical judgment and should be interpreted in the context of the entire clinical picture. If the findings of the EUS are equivocal additional diagnostic testing may be indicated. </w:t>
      </w:r>
    </w:p>
    <w:p w14:paraId="36546A51" w14:textId="77777777" w:rsidR="00DA6DEE" w:rsidRDefault="00DA6DEE" w:rsidP="00DA6DEE">
      <w:pPr>
        <w:pStyle w:val="Default"/>
        <w:numPr>
          <w:ilvl w:val="1"/>
          <w:numId w:val="3"/>
        </w:numPr>
        <w:rPr>
          <w:sz w:val="22"/>
          <w:szCs w:val="22"/>
        </w:rPr>
      </w:pPr>
      <w:r>
        <w:rPr>
          <w:sz w:val="22"/>
          <w:szCs w:val="22"/>
        </w:rPr>
        <w:t xml:space="preserve">Examination of the aorta may be technically limited by </w:t>
      </w:r>
    </w:p>
    <w:p w14:paraId="5F7F79B8" w14:textId="77777777" w:rsidR="00DA6DEE" w:rsidRDefault="00DA6DEE" w:rsidP="00DA6DEE">
      <w:pPr>
        <w:pStyle w:val="Default"/>
        <w:numPr>
          <w:ilvl w:val="2"/>
          <w:numId w:val="3"/>
        </w:numPr>
        <w:spacing w:after="21"/>
        <w:rPr>
          <w:sz w:val="22"/>
          <w:szCs w:val="22"/>
        </w:rPr>
      </w:pPr>
      <w:r>
        <w:rPr>
          <w:sz w:val="22"/>
          <w:szCs w:val="22"/>
        </w:rPr>
        <w:t xml:space="preserve">Obese habitus </w:t>
      </w:r>
    </w:p>
    <w:p w14:paraId="386D6EF2" w14:textId="77777777" w:rsidR="00DA6DEE" w:rsidRDefault="00DA6DEE" w:rsidP="00DA6DEE">
      <w:pPr>
        <w:pStyle w:val="Default"/>
        <w:numPr>
          <w:ilvl w:val="2"/>
          <w:numId w:val="3"/>
        </w:numPr>
        <w:spacing w:after="21"/>
        <w:rPr>
          <w:sz w:val="22"/>
          <w:szCs w:val="22"/>
        </w:rPr>
      </w:pPr>
      <w:r>
        <w:rPr>
          <w:sz w:val="22"/>
          <w:szCs w:val="22"/>
        </w:rPr>
        <w:t xml:space="preserve">Bowel gas </w:t>
      </w:r>
    </w:p>
    <w:p w14:paraId="5946115B" w14:textId="77777777" w:rsidR="00DA6DEE" w:rsidRDefault="00DA6DEE" w:rsidP="00DA6DEE">
      <w:pPr>
        <w:pStyle w:val="Default"/>
        <w:numPr>
          <w:ilvl w:val="2"/>
          <w:numId w:val="3"/>
        </w:numPr>
        <w:rPr>
          <w:sz w:val="22"/>
          <w:szCs w:val="22"/>
        </w:rPr>
      </w:pPr>
      <w:r>
        <w:rPr>
          <w:sz w:val="22"/>
          <w:szCs w:val="22"/>
        </w:rPr>
        <w:t xml:space="preserve">Abdominal tenderness </w:t>
      </w:r>
    </w:p>
    <w:p w14:paraId="7014A8EC" w14:textId="77777777" w:rsidR="00DA6DEE" w:rsidRDefault="00DA6DEE" w:rsidP="00DA6DEE">
      <w:pPr>
        <w:pStyle w:val="Default"/>
        <w:numPr>
          <w:ilvl w:val="2"/>
          <w:numId w:val="3"/>
        </w:numPr>
        <w:rPr>
          <w:sz w:val="22"/>
          <w:szCs w:val="22"/>
        </w:rPr>
      </w:pPr>
      <w:r>
        <w:rPr>
          <w:sz w:val="22"/>
          <w:szCs w:val="22"/>
        </w:rPr>
        <w:t>Abdominal dressings</w:t>
      </w:r>
    </w:p>
    <w:p w14:paraId="7190E36E" w14:textId="77777777" w:rsidR="00E642A0" w:rsidRDefault="00E642A0" w:rsidP="00E642A0">
      <w:pPr>
        <w:pStyle w:val="Default"/>
        <w:ind w:left="2160"/>
        <w:rPr>
          <w:sz w:val="22"/>
          <w:szCs w:val="22"/>
        </w:rPr>
      </w:pPr>
    </w:p>
    <w:p w14:paraId="3A8AB863" w14:textId="77777777" w:rsidR="00FD4F68" w:rsidRDefault="00FD4F68">
      <w:pPr>
        <w:rPr>
          <w:rFonts w:ascii="Times New Roman" w:hAnsi="Times New Roman" w:cs="Times New Roman"/>
          <w:b/>
          <w:color w:val="000000"/>
          <w:sz w:val="22"/>
          <w:szCs w:val="22"/>
        </w:rPr>
      </w:pPr>
      <w:r>
        <w:rPr>
          <w:b/>
          <w:sz w:val="22"/>
          <w:szCs w:val="22"/>
        </w:rPr>
        <w:br w:type="page"/>
      </w:r>
    </w:p>
    <w:p w14:paraId="1E47F0E4" w14:textId="6B6FC94E" w:rsidR="00A66893" w:rsidRDefault="00E642A0" w:rsidP="00A66893">
      <w:pPr>
        <w:pStyle w:val="Default"/>
        <w:numPr>
          <w:ilvl w:val="0"/>
          <w:numId w:val="3"/>
        </w:numPr>
        <w:rPr>
          <w:b/>
          <w:sz w:val="22"/>
          <w:szCs w:val="22"/>
        </w:rPr>
      </w:pPr>
      <w:r w:rsidRPr="00E642A0">
        <w:rPr>
          <w:b/>
          <w:sz w:val="22"/>
          <w:szCs w:val="22"/>
        </w:rPr>
        <w:lastRenderedPageBreak/>
        <w:t>Technique</w:t>
      </w:r>
    </w:p>
    <w:p w14:paraId="654ADCB0" w14:textId="0401446D" w:rsidR="00A66893" w:rsidRPr="00A66893" w:rsidRDefault="00A66893" w:rsidP="00A66893">
      <w:pPr>
        <w:pStyle w:val="Default"/>
        <w:numPr>
          <w:ilvl w:val="1"/>
          <w:numId w:val="3"/>
        </w:numPr>
        <w:rPr>
          <w:b/>
          <w:sz w:val="22"/>
          <w:szCs w:val="22"/>
        </w:rPr>
      </w:pPr>
      <w:r>
        <w:rPr>
          <w:sz w:val="22"/>
          <w:szCs w:val="22"/>
        </w:rPr>
        <w:t>Curvilinear or Phased Array Probe</w:t>
      </w:r>
    </w:p>
    <w:p w14:paraId="5E71EF91" w14:textId="466CCE58" w:rsidR="00E642A0" w:rsidRDefault="006F69CD" w:rsidP="00E642A0">
      <w:pPr>
        <w:pStyle w:val="Default"/>
        <w:numPr>
          <w:ilvl w:val="1"/>
          <w:numId w:val="3"/>
        </w:numPr>
        <w:rPr>
          <w:sz w:val="22"/>
          <w:szCs w:val="22"/>
        </w:rPr>
      </w:pPr>
      <w:r w:rsidRPr="006F69CD">
        <w:rPr>
          <w:sz w:val="22"/>
          <w:szCs w:val="22"/>
        </w:rPr>
        <w:t>Transverse view of the Aorta from the Xiphoid Process to the Bifurcation</w:t>
      </w:r>
      <w:r w:rsidR="00180F9D">
        <w:rPr>
          <w:sz w:val="22"/>
          <w:szCs w:val="22"/>
        </w:rPr>
        <w:t>.</w:t>
      </w:r>
    </w:p>
    <w:p w14:paraId="220ABEEB" w14:textId="417B5E36" w:rsidR="00180F9D" w:rsidRDefault="00180F9D" w:rsidP="00180F9D">
      <w:pPr>
        <w:pStyle w:val="Default"/>
        <w:numPr>
          <w:ilvl w:val="2"/>
          <w:numId w:val="3"/>
        </w:numPr>
        <w:rPr>
          <w:sz w:val="22"/>
          <w:szCs w:val="22"/>
        </w:rPr>
      </w:pPr>
      <w:r>
        <w:rPr>
          <w:sz w:val="22"/>
          <w:szCs w:val="22"/>
        </w:rPr>
        <w:t>Measurements from the outside wall-to- outside wall should be made of the proximal, mid, and distal aorta</w:t>
      </w:r>
    </w:p>
    <w:p w14:paraId="34DA0480" w14:textId="2616B267" w:rsidR="00180F9D" w:rsidRDefault="00180F9D" w:rsidP="00180F9D">
      <w:pPr>
        <w:pStyle w:val="Default"/>
        <w:numPr>
          <w:ilvl w:val="2"/>
          <w:numId w:val="3"/>
        </w:numPr>
        <w:rPr>
          <w:sz w:val="22"/>
          <w:szCs w:val="22"/>
        </w:rPr>
      </w:pPr>
      <w:r>
        <w:rPr>
          <w:sz w:val="22"/>
          <w:szCs w:val="22"/>
        </w:rPr>
        <w:t>Anterior-Posterior Diameter should be measured</w:t>
      </w:r>
    </w:p>
    <w:p w14:paraId="2AEB75E6" w14:textId="19FCAFDD" w:rsidR="00180F9D" w:rsidRDefault="00180F9D" w:rsidP="00180F9D">
      <w:pPr>
        <w:pStyle w:val="Default"/>
        <w:numPr>
          <w:ilvl w:val="2"/>
          <w:numId w:val="3"/>
        </w:numPr>
        <w:rPr>
          <w:sz w:val="22"/>
          <w:szCs w:val="22"/>
        </w:rPr>
      </w:pPr>
      <w:r>
        <w:rPr>
          <w:sz w:val="22"/>
          <w:szCs w:val="22"/>
        </w:rPr>
        <w:t>Lateral-Lateral Diameter may also be measured when possible.</w:t>
      </w:r>
    </w:p>
    <w:p w14:paraId="504E6988" w14:textId="77777777" w:rsidR="001357AA" w:rsidRDefault="00180F9D" w:rsidP="00E642A0">
      <w:pPr>
        <w:pStyle w:val="Default"/>
        <w:numPr>
          <w:ilvl w:val="1"/>
          <w:numId w:val="3"/>
        </w:numPr>
        <w:rPr>
          <w:sz w:val="22"/>
          <w:szCs w:val="22"/>
        </w:rPr>
      </w:pPr>
      <w:r>
        <w:rPr>
          <w:sz w:val="22"/>
          <w:szCs w:val="22"/>
        </w:rPr>
        <w:t>Longitudinal views of the Aorta should be obtained as well.</w:t>
      </w:r>
    </w:p>
    <w:p w14:paraId="2EC13DCE" w14:textId="0E36A62C" w:rsidR="00180F9D" w:rsidRDefault="001357AA" w:rsidP="00E642A0">
      <w:pPr>
        <w:pStyle w:val="Default"/>
        <w:numPr>
          <w:ilvl w:val="1"/>
          <w:numId w:val="3"/>
        </w:numPr>
        <w:rPr>
          <w:sz w:val="22"/>
          <w:szCs w:val="22"/>
        </w:rPr>
      </w:pPr>
      <w:r>
        <w:rPr>
          <w:sz w:val="22"/>
          <w:szCs w:val="22"/>
        </w:rPr>
        <w:t xml:space="preserve">If </w:t>
      </w:r>
      <w:proofErr w:type="gramStart"/>
      <w:r>
        <w:rPr>
          <w:sz w:val="22"/>
          <w:szCs w:val="22"/>
        </w:rPr>
        <w:t>a</w:t>
      </w:r>
      <w:proofErr w:type="gramEnd"/>
      <w:r>
        <w:rPr>
          <w:sz w:val="22"/>
          <w:szCs w:val="22"/>
        </w:rPr>
        <w:t xml:space="preserve"> AAA is identified a FAST Exam should be performed to evaluate for peritoneal fluid.</w:t>
      </w:r>
      <w:r w:rsidR="00180F9D">
        <w:rPr>
          <w:sz w:val="22"/>
          <w:szCs w:val="22"/>
        </w:rPr>
        <w:t xml:space="preserve"> </w:t>
      </w:r>
    </w:p>
    <w:p w14:paraId="5D0EE8E4" w14:textId="20B22394" w:rsidR="00FD4F68" w:rsidRDefault="00FD4F68" w:rsidP="00FD4F68">
      <w:pPr>
        <w:pStyle w:val="Default"/>
        <w:rPr>
          <w:sz w:val="22"/>
          <w:szCs w:val="22"/>
        </w:rPr>
      </w:pPr>
      <w:r>
        <w:rPr>
          <w:noProof/>
          <w:sz w:val="22"/>
          <w:szCs w:val="22"/>
        </w:rPr>
        <w:drawing>
          <wp:inline distT="0" distB="0" distL="0" distR="0" wp14:anchorId="6D0BAB7F" wp14:editId="00151E9F">
            <wp:extent cx="5143500" cy="324743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ta .tiff"/>
                    <pic:cNvPicPr/>
                  </pic:nvPicPr>
                  <pic:blipFill>
                    <a:blip r:embed="rId6">
                      <a:extLst>
                        <a:ext uri="{28A0092B-C50C-407E-A947-70E740481C1C}">
                          <a14:useLocalDpi xmlns:a14="http://schemas.microsoft.com/office/drawing/2010/main" val="0"/>
                        </a:ext>
                      </a:extLst>
                    </a:blip>
                    <a:stretch>
                      <a:fillRect/>
                    </a:stretch>
                  </pic:blipFill>
                  <pic:spPr>
                    <a:xfrm>
                      <a:off x="0" y="0"/>
                      <a:ext cx="5143929" cy="3247701"/>
                    </a:xfrm>
                    <a:prstGeom prst="rect">
                      <a:avLst/>
                    </a:prstGeom>
                  </pic:spPr>
                </pic:pic>
              </a:graphicData>
            </a:graphic>
          </wp:inline>
        </w:drawing>
      </w:r>
    </w:p>
    <w:p w14:paraId="7F8E8E79" w14:textId="6BF2917C" w:rsidR="00C03896" w:rsidRDefault="00C03896" w:rsidP="00FD4F68">
      <w:pPr>
        <w:pStyle w:val="Default"/>
        <w:rPr>
          <w:sz w:val="22"/>
          <w:szCs w:val="22"/>
        </w:rPr>
      </w:pPr>
      <w:r>
        <w:rPr>
          <w:noProof/>
          <w:sz w:val="22"/>
          <w:szCs w:val="22"/>
        </w:rPr>
        <w:drawing>
          <wp:inline distT="0" distB="0" distL="0" distR="0" wp14:anchorId="53C43057" wp14:editId="3ABBD39E">
            <wp:extent cx="5143500" cy="3214688"/>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cs.png"/>
                    <pic:cNvPicPr/>
                  </pic:nvPicPr>
                  <pic:blipFill>
                    <a:blip r:embed="rId7">
                      <a:extLst>
                        <a:ext uri="{28A0092B-C50C-407E-A947-70E740481C1C}">
                          <a14:useLocalDpi xmlns:a14="http://schemas.microsoft.com/office/drawing/2010/main" val="0"/>
                        </a:ext>
                      </a:extLst>
                    </a:blip>
                    <a:stretch>
                      <a:fillRect/>
                    </a:stretch>
                  </pic:blipFill>
                  <pic:spPr>
                    <a:xfrm>
                      <a:off x="0" y="0"/>
                      <a:ext cx="5143500" cy="3214688"/>
                    </a:xfrm>
                    <a:prstGeom prst="rect">
                      <a:avLst/>
                    </a:prstGeom>
                  </pic:spPr>
                </pic:pic>
              </a:graphicData>
            </a:graphic>
          </wp:inline>
        </w:drawing>
      </w:r>
    </w:p>
    <w:p w14:paraId="391108DE" w14:textId="77777777" w:rsidR="00FD4F68" w:rsidRDefault="00FD4F68" w:rsidP="00FD4F68">
      <w:pPr>
        <w:pStyle w:val="Default"/>
        <w:rPr>
          <w:sz w:val="22"/>
          <w:szCs w:val="22"/>
        </w:rPr>
      </w:pPr>
    </w:p>
    <w:p w14:paraId="5C2F88B6" w14:textId="15DBA8A6" w:rsidR="00A27314" w:rsidRDefault="00A27314" w:rsidP="00FD4F68">
      <w:pPr>
        <w:pStyle w:val="Default"/>
        <w:rPr>
          <w:sz w:val="22"/>
          <w:szCs w:val="22"/>
        </w:rPr>
      </w:pPr>
      <w:r>
        <w:rPr>
          <w:noProof/>
          <w:sz w:val="22"/>
          <w:szCs w:val="22"/>
        </w:rPr>
        <w:drawing>
          <wp:inline distT="0" distB="0" distL="0" distR="0" wp14:anchorId="09FAB101" wp14:editId="2F75FB1E">
            <wp:extent cx="5486400" cy="41275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ta 2.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4127500"/>
                    </a:xfrm>
                    <a:prstGeom prst="rect">
                      <a:avLst/>
                    </a:prstGeom>
                  </pic:spPr>
                </pic:pic>
              </a:graphicData>
            </a:graphic>
          </wp:inline>
        </w:drawing>
      </w:r>
    </w:p>
    <w:p w14:paraId="269C8DA7" w14:textId="2CCD9CEE" w:rsidR="00A27314" w:rsidRDefault="00A27314" w:rsidP="00FD4F68">
      <w:pPr>
        <w:pStyle w:val="Default"/>
        <w:rPr>
          <w:sz w:val="22"/>
          <w:szCs w:val="22"/>
        </w:rPr>
      </w:pPr>
      <w:r>
        <w:rPr>
          <w:noProof/>
          <w:sz w:val="22"/>
          <w:szCs w:val="22"/>
        </w:rPr>
        <w:drawing>
          <wp:inline distT="0" distB="0" distL="0" distR="0" wp14:anchorId="670A1ACB" wp14:editId="2BFF9BB6">
            <wp:extent cx="5486400" cy="38188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ta 3.png"/>
                    <pic:cNvPicPr/>
                  </pic:nvPicPr>
                  <pic:blipFill>
                    <a:blip r:embed="rId9">
                      <a:extLst>
                        <a:ext uri="{28A0092B-C50C-407E-A947-70E740481C1C}">
                          <a14:useLocalDpi xmlns:a14="http://schemas.microsoft.com/office/drawing/2010/main" val="0"/>
                        </a:ext>
                      </a:extLst>
                    </a:blip>
                    <a:stretch>
                      <a:fillRect/>
                    </a:stretch>
                  </pic:blipFill>
                  <pic:spPr>
                    <a:xfrm>
                      <a:off x="0" y="0"/>
                      <a:ext cx="5486400" cy="3818890"/>
                    </a:xfrm>
                    <a:prstGeom prst="rect">
                      <a:avLst/>
                    </a:prstGeom>
                  </pic:spPr>
                </pic:pic>
              </a:graphicData>
            </a:graphic>
          </wp:inline>
        </w:drawing>
      </w:r>
    </w:p>
    <w:p w14:paraId="06B072F5" w14:textId="67C76367" w:rsidR="00E273F3" w:rsidRDefault="00E273F3" w:rsidP="00FD4F68">
      <w:pPr>
        <w:pStyle w:val="Default"/>
        <w:rPr>
          <w:sz w:val="22"/>
          <w:szCs w:val="22"/>
        </w:rPr>
      </w:pPr>
      <w:r>
        <w:rPr>
          <w:noProof/>
          <w:sz w:val="22"/>
          <w:szCs w:val="22"/>
        </w:rPr>
        <w:lastRenderedPageBreak/>
        <w:drawing>
          <wp:inline distT="0" distB="0" distL="0" distR="0" wp14:anchorId="479B09F1" wp14:editId="25FA197C">
            <wp:extent cx="5486400"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2.26 hrs __[0003875].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A36CA5D" w14:textId="4D635935" w:rsidR="00E273F3" w:rsidRPr="006F69CD" w:rsidRDefault="00E273F3" w:rsidP="00FD4F68">
      <w:pPr>
        <w:pStyle w:val="Default"/>
        <w:rPr>
          <w:sz w:val="22"/>
          <w:szCs w:val="22"/>
        </w:rPr>
      </w:pPr>
      <w:r>
        <w:rPr>
          <w:noProof/>
          <w:sz w:val="22"/>
          <w:szCs w:val="22"/>
        </w:rPr>
        <w:drawing>
          <wp:inline distT="0" distB="0" distL="0" distR="0" wp14:anchorId="77622EA0" wp14:editId="7ED5B681">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31 hrs __[0000494].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03BCF69" w14:textId="3899BED1" w:rsidR="00E642A0" w:rsidRPr="00E642A0" w:rsidRDefault="00E273F3" w:rsidP="00E642A0">
      <w:pPr>
        <w:pStyle w:val="Default"/>
        <w:ind w:left="720"/>
        <w:rPr>
          <w:b/>
          <w:sz w:val="22"/>
          <w:szCs w:val="22"/>
        </w:rPr>
      </w:pPr>
      <w:r>
        <w:rPr>
          <w:b/>
          <w:noProof/>
          <w:sz w:val="22"/>
          <w:szCs w:val="22"/>
        </w:rPr>
        <w:lastRenderedPageBreak/>
        <w:drawing>
          <wp:inline distT="0" distB="0" distL="0" distR="0" wp14:anchorId="7D3A1C55" wp14:editId="61D50708">
            <wp:extent cx="548640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with Dissection.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19EC9970" w14:textId="77777777" w:rsidR="00B13AF3" w:rsidRDefault="00B13AF3" w:rsidP="00B13AF3">
      <w:pPr>
        <w:pStyle w:val="Default"/>
        <w:ind w:left="720"/>
      </w:pPr>
    </w:p>
    <w:p w14:paraId="26E1B57C" w14:textId="77777777" w:rsidR="009F139A" w:rsidRDefault="009F139A">
      <w:pPr>
        <w:rPr>
          <w:b/>
          <w:sz w:val="22"/>
          <w:szCs w:val="22"/>
        </w:rPr>
      </w:pPr>
    </w:p>
    <w:p w14:paraId="425E61F0" w14:textId="77777777" w:rsidR="009F139A" w:rsidRDefault="009F139A">
      <w:pPr>
        <w:rPr>
          <w:b/>
          <w:sz w:val="22"/>
          <w:szCs w:val="22"/>
        </w:rPr>
      </w:pPr>
      <w:r>
        <w:rPr>
          <w:b/>
          <w:sz w:val="22"/>
          <w:szCs w:val="22"/>
        </w:rPr>
        <w:t>LONG AXIS AAA</w:t>
      </w:r>
    </w:p>
    <w:p w14:paraId="60DDB2DD" w14:textId="77777777" w:rsidR="009F139A" w:rsidRDefault="009F139A">
      <w:pPr>
        <w:rPr>
          <w:b/>
          <w:sz w:val="22"/>
          <w:szCs w:val="22"/>
        </w:rPr>
      </w:pPr>
    </w:p>
    <w:p w14:paraId="37308FF1" w14:textId="58A1B9AE" w:rsidR="00FD4F68" w:rsidRDefault="009F139A">
      <w:pPr>
        <w:rPr>
          <w:rFonts w:ascii="Times New Roman" w:hAnsi="Times New Roman" w:cs="Times New Roman"/>
          <w:b/>
          <w:color w:val="000000"/>
          <w:sz w:val="22"/>
          <w:szCs w:val="22"/>
        </w:rPr>
      </w:pPr>
      <w:r>
        <w:rPr>
          <w:b/>
          <w:noProof/>
          <w:sz w:val="22"/>
          <w:szCs w:val="22"/>
        </w:rPr>
        <w:drawing>
          <wp:inline distT="0" distB="0" distL="0" distR="0" wp14:anchorId="4F5D30F6" wp14:editId="49873253">
            <wp:extent cx="5486400"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Long Axis.png"/>
                    <pic:cNvPicPr/>
                  </pic:nvPicPr>
                  <pic:blipFill>
                    <a:blip r:embed="rId13">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r w:rsidR="00FD4F68">
        <w:rPr>
          <w:b/>
          <w:sz w:val="22"/>
          <w:szCs w:val="22"/>
        </w:rPr>
        <w:br w:type="page"/>
      </w:r>
    </w:p>
    <w:p w14:paraId="24C70B3F" w14:textId="76D07BF6" w:rsidR="00B13AF3" w:rsidRPr="00B13AF3" w:rsidRDefault="00B13AF3" w:rsidP="00B13AF3">
      <w:pPr>
        <w:pStyle w:val="Default"/>
        <w:numPr>
          <w:ilvl w:val="0"/>
          <w:numId w:val="3"/>
        </w:numPr>
        <w:rPr>
          <w:b/>
          <w:sz w:val="22"/>
          <w:szCs w:val="22"/>
        </w:rPr>
      </w:pPr>
      <w:r w:rsidRPr="00B13AF3">
        <w:rPr>
          <w:b/>
          <w:sz w:val="22"/>
          <w:szCs w:val="22"/>
        </w:rPr>
        <w:lastRenderedPageBreak/>
        <w:t xml:space="preserve">Pitfalls </w:t>
      </w:r>
    </w:p>
    <w:p w14:paraId="03073427" w14:textId="03A56AE8" w:rsidR="00B13AF3" w:rsidRDefault="00B13AF3" w:rsidP="00B13AF3">
      <w:pPr>
        <w:pStyle w:val="Default"/>
        <w:numPr>
          <w:ilvl w:val="1"/>
          <w:numId w:val="3"/>
        </w:numPr>
        <w:spacing w:after="23"/>
        <w:rPr>
          <w:sz w:val="22"/>
          <w:szCs w:val="22"/>
        </w:rPr>
      </w:pPr>
      <w:r>
        <w:rPr>
          <w:sz w:val="22"/>
          <w:szCs w:val="22"/>
        </w:rPr>
        <w:t xml:space="preserve">While most aneurysms are fusiform, extending over several centimeters of aorta, </w:t>
      </w:r>
      <w:proofErr w:type="spellStart"/>
      <w:r>
        <w:rPr>
          <w:sz w:val="22"/>
          <w:szCs w:val="22"/>
        </w:rPr>
        <w:t>saccular</w:t>
      </w:r>
      <w:proofErr w:type="spellEnd"/>
      <w:r>
        <w:rPr>
          <w:sz w:val="22"/>
          <w:szCs w:val="22"/>
        </w:rPr>
        <w:t xml:space="preserve"> aneurysms are confined to a short focal section of the aorta, making them easily overlooked. This may be avoided by methodical, systematic real-time scanning through all tissue planes in both transverse and longitudinal sections. </w:t>
      </w:r>
    </w:p>
    <w:p w14:paraId="46685B7D" w14:textId="1BD7DAC2" w:rsidR="00B13AF3" w:rsidRDefault="00B13AF3" w:rsidP="00B13AF3">
      <w:pPr>
        <w:pStyle w:val="Default"/>
        <w:numPr>
          <w:ilvl w:val="1"/>
          <w:numId w:val="3"/>
        </w:numPr>
        <w:spacing w:after="23"/>
        <w:rPr>
          <w:sz w:val="22"/>
          <w:szCs w:val="22"/>
        </w:rPr>
      </w:pPr>
      <w:r>
        <w:rPr>
          <w:sz w:val="22"/>
          <w:szCs w:val="22"/>
        </w:rPr>
        <w:t xml:space="preserve">When bowel gas or other technical factors prevent a complete systematic real-time scan in orthogonal planes, these limitations should be identified and documented. Such limitations may mandate further evaluation by alternative methods, as clinically indicated. </w:t>
      </w:r>
    </w:p>
    <w:p w14:paraId="2C8AA168" w14:textId="42F01493" w:rsidR="00B13AF3" w:rsidRDefault="00B13AF3" w:rsidP="00B13AF3">
      <w:pPr>
        <w:pStyle w:val="Default"/>
        <w:numPr>
          <w:ilvl w:val="1"/>
          <w:numId w:val="3"/>
        </w:numPr>
        <w:spacing w:after="23"/>
        <w:rPr>
          <w:sz w:val="22"/>
          <w:szCs w:val="22"/>
        </w:rPr>
      </w:pPr>
      <w:r>
        <w:rPr>
          <w:sz w:val="22"/>
          <w:szCs w:val="22"/>
        </w:rPr>
        <w:t xml:space="preserve">A small aneurysm does not preclude rupture. A patient with symptoms consistent with acute AAA and an aortic diameter greater than 3.0 cm should undergo further diagnostic evaluation. </w:t>
      </w:r>
    </w:p>
    <w:p w14:paraId="5D5ED8D6" w14:textId="1239C4C1" w:rsidR="00B13AF3" w:rsidRDefault="00B13AF3" w:rsidP="00B13AF3">
      <w:pPr>
        <w:pStyle w:val="Default"/>
        <w:numPr>
          <w:ilvl w:val="1"/>
          <w:numId w:val="3"/>
        </w:numPr>
        <w:spacing w:after="23"/>
        <w:rPr>
          <w:sz w:val="22"/>
          <w:szCs w:val="22"/>
        </w:rPr>
      </w:pPr>
      <w:r>
        <w:rPr>
          <w:sz w:val="22"/>
          <w:szCs w:val="22"/>
        </w:rPr>
        <w:t xml:space="preserve">The absence of free </w:t>
      </w:r>
      <w:proofErr w:type="spellStart"/>
      <w:r>
        <w:rPr>
          <w:sz w:val="22"/>
          <w:szCs w:val="22"/>
        </w:rPr>
        <w:t>intraperitoneal</w:t>
      </w:r>
      <w:proofErr w:type="spellEnd"/>
      <w:r>
        <w:rPr>
          <w:sz w:val="22"/>
          <w:szCs w:val="22"/>
        </w:rPr>
        <w:t xml:space="preserve"> fluid does not rule out acute AAA rupture.</w:t>
      </w:r>
    </w:p>
    <w:p w14:paraId="1AB18394" w14:textId="5E6B61AF" w:rsidR="00B13AF3" w:rsidRDefault="00B13AF3" w:rsidP="00B13AF3">
      <w:pPr>
        <w:pStyle w:val="Default"/>
        <w:numPr>
          <w:ilvl w:val="1"/>
          <w:numId w:val="3"/>
        </w:numPr>
        <w:spacing w:after="23"/>
        <w:rPr>
          <w:sz w:val="22"/>
          <w:szCs w:val="22"/>
        </w:rPr>
      </w:pPr>
      <w:r>
        <w:rPr>
          <w:sz w:val="22"/>
          <w:szCs w:val="22"/>
        </w:rPr>
        <w:t xml:space="preserve">The presence of retroperitoneal hemorrhage cannot be reliably identified by EUS. </w:t>
      </w:r>
    </w:p>
    <w:p w14:paraId="663E5D2C" w14:textId="0F8247DC" w:rsidR="00B13AF3" w:rsidRDefault="00B13AF3" w:rsidP="00B13AF3">
      <w:pPr>
        <w:pStyle w:val="Default"/>
        <w:numPr>
          <w:ilvl w:val="1"/>
          <w:numId w:val="3"/>
        </w:numPr>
        <w:spacing w:after="23"/>
        <w:rPr>
          <w:sz w:val="22"/>
          <w:szCs w:val="22"/>
        </w:rPr>
      </w:pPr>
      <w:r>
        <w:rPr>
          <w:sz w:val="22"/>
          <w:szCs w:val="22"/>
        </w:rPr>
        <w:t xml:space="preserve">The presence of free </w:t>
      </w:r>
      <w:proofErr w:type="spellStart"/>
      <w:r>
        <w:rPr>
          <w:sz w:val="22"/>
          <w:szCs w:val="22"/>
        </w:rPr>
        <w:t>intraperitoneal</w:t>
      </w:r>
      <w:proofErr w:type="spellEnd"/>
      <w:r>
        <w:rPr>
          <w:sz w:val="22"/>
          <w:szCs w:val="22"/>
        </w:rPr>
        <w:t xml:space="preserve"> fluid with an </w:t>
      </w:r>
      <w:proofErr w:type="gramStart"/>
      <w:r>
        <w:rPr>
          <w:sz w:val="22"/>
          <w:szCs w:val="22"/>
        </w:rPr>
        <w:t>AAA,</w:t>
      </w:r>
      <w:proofErr w:type="gramEnd"/>
      <w:r>
        <w:rPr>
          <w:sz w:val="22"/>
          <w:szCs w:val="22"/>
        </w:rPr>
        <w:t xml:space="preserve"> does not necessarily mean that the aneurysm is the source of the fluid. </w:t>
      </w:r>
    </w:p>
    <w:p w14:paraId="01895C18" w14:textId="140B8829" w:rsidR="00B13AF3" w:rsidRDefault="00B13AF3" w:rsidP="00B13AF3">
      <w:pPr>
        <w:pStyle w:val="Default"/>
        <w:numPr>
          <w:ilvl w:val="1"/>
          <w:numId w:val="3"/>
        </w:numPr>
        <w:spacing w:after="23"/>
        <w:rPr>
          <w:sz w:val="22"/>
          <w:szCs w:val="22"/>
        </w:rPr>
      </w:pPr>
      <w:r>
        <w:rPr>
          <w:sz w:val="22"/>
          <w:szCs w:val="22"/>
        </w:rPr>
        <w:t xml:space="preserve">Oblique or angled cuts exaggerate the true aortic diameter. Scanning planes should be obtained that are either exactly aligned with, or at exact right angles to, the main axis of the vessel. </w:t>
      </w:r>
    </w:p>
    <w:p w14:paraId="0D9EC8E8" w14:textId="19733A14" w:rsidR="00B13AF3" w:rsidRDefault="00B13AF3" w:rsidP="00B13AF3">
      <w:pPr>
        <w:pStyle w:val="Default"/>
        <w:numPr>
          <w:ilvl w:val="1"/>
          <w:numId w:val="3"/>
        </w:numPr>
        <w:spacing w:after="23"/>
        <w:rPr>
          <w:sz w:val="22"/>
          <w:szCs w:val="22"/>
        </w:rPr>
      </w:pPr>
      <w:r>
        <w:rPr>
          <w:sz w:val="22"/>
          <w:szCs w:val="22"/>
        </w:rPr>
        <w:t xml:space="preserve">Off-plane longitudinal images and transverse images not obtained at the level of maximal dilatation will underestimate the true diameter of the vessel. </w:t>
      </w:r>
    </w:p>
    <w:p w14:paraId="1F8E2B00" w14:textId="7487D90B" w:rsidR="00B13AF3" w:rsidRDefault="00B13AF3" w:rsidP="00B13AF3">
      <w:pPr>
        <w:pStyle w:val="Default"/>
        <w:numPr>
          <w:ilvl w:val="1"/>
          <w:numId w:val="3"/>
        </w:numPr>
        <w:spacing w:after="23"/>
        <w:rPr>
          <w:sz w:val="22"/>
          <w:szCs w:val="22"/>
        </w:rPr>
      </w:pPr>
      <w:r>
        <w:rPr>
          <w:sz w:val="22"/>
          <w:szCs w:val="22"/>
        </w:rPr>
        <w:t xml:space="preserve">With a tortuous or </w:t>
      </w:r>
      <w:proofErr w:type="spellStart"/>
      <w:r>
        <w:rPr>
          <w:sz w:val="22"/>
          <w:szCs w:val="22"/>
        </w:rPr>
        <w:t>ectatic</w:t>
      </w:r>
      <w:proofErr w:type="spellEnd"/>
      <w:r>
        <w:rPr>
          <w:sz w:val="22"/>
          <w:szCs w:val="22"/>
        </w:rPr>
        <w:t xml:space="preserve"> aorta “longitudinal” and “transverse” views should be obtained with respect to the axis of the vessel in order to avoid </w:t>
      </w:r>
      <w:proofErr w:type="spellStart"/>
      <w:r>
        <w:rPr>
          <w:sz w:val="22"/>
          <w:szCs w:val="22"/>
        </w:rPr>
        <w:t>artifactual</w:t>
      </w:r>
      <w:proofErr w:type="spellEnd"/>
      <w:r>
        <w:rPr>
          <w:sz w:val="22"/>
          <w:szCs w:val="22"/>
        </w:rPr>
        <w:t xml:space="preserve"> exaggeration of the aortic diameter. </w:t>
      </w:r>
    </w:p>
    <w:p w14:paraId="2C145F41" w14:textId="1A9E7BA7" w:rsidR="00B13AF3" w:rsidRDefault="00B13AF3" w:rsidP="00B13AF3">
      <w:pPr>
        <w:pStyle w:val="Default"/>
        <w:numPr>
          <w:ilvl w:val="1"/>
          <w:numId w:val="3"/>
        </w:numPr>
        <w:spacing w:after="23"/>
        <w:rPr>
          <w:sz w:val="22"/>
          <w:szCs w:val="22"/>
        </w:rPr>
      </w:pPr>
      <w:r>
        <w:rPr>
          <w:sz w:val="22"/>
          <w:szCs w:val="22"/>
        </w:rPr>
        <w:t xml:space="preserve">Large para-aortic nodes may be confused with the aorta and/or AAA. They usually occur anterior to the aorta, but may be posterior, displacing the aorta away from the vertebral body. They can be distinguished by an irregular nodular shape, identifiable in real-time. If color flow Doppler is utilized, nodes will not demonstrate high-velocity luminal flow. </w:t>
      </w:r>
    </w:p>
    <w:p w14:paraId="2496FDF2" w14:textId="4CFA647F" w:rsidR="00B13AF3" w:rsidRDefault="00B13AF3" w:rsidP="00B13AF3">
      <w:pPr>
        <w:pStyle w:val="Default"/>
        <w:numPr>
          <w:ilvl w:val="1"/>
          <w:numId w:val="3"/>
        </w:numPr>
        <w:rPr>
          <w:sz w:val="22"/>
          <w:szCs w:val="22"/>
        </w:rPr>
      </w:pPr>
      <w:r>
        <w:rPr>
          <w:sz w:val="22"/>
          <w:szCs w:val="22"/>
        </w:rPr>
        <w:t>Longstanding thrombus within an AAA may become calcified and mistaken for bowel outside the aorta, thereby obscuring the aortic walls and preventing recognition of the aneurysm. Gain should be adjusted so that blood within the lumen of the vessel appears anechoic (</w:t>
      </w:r>
      <w:proofErr w:type="spellStart"/>
      <w:r>
        <w:rPr>
          <w:sz w:val="22"/>
          <w:szCs w:val="22"/>
        </w:rPr>
        <w:t>ie</w:t>
      </w:r>
      <w:proofErr w:type="spellEnd"/>
      <w:r>
        <w:rPr>
          <w:sz w:val="22"/>
          <w:szCs w:val="22"/>
        </w:rPr>
        <w:t xml:space="preserve">, black). </w:t>
      </w:r>
    </w:p>
    <w:p w14:paraId="63A14FE8" w14:textId="77777777" w:rsidR="00DA6DEE" w:rsidRPr="00DA6DEE" w:rsidRDefault="00DA6DEE" w:rsidP="00DA6DEE"/>
    <w:sectPr w:rsidR="00DA6DEE" w:rsidRPr="00DA6DEE" w:rsidSect="000C01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A1B68"/>
    <w:multiLevelType w:val="hybridMultilevel"/>
    <w:tmpl w:val="DFDCA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1301B6"/>
    <w:multiLevelType w:val="hybridMultilevel"/>
    <w:tmpl w:val="A564741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78E1144"/>
    <w:multiLevelType w:val="hybridMultilevel"/>
    <w:tmpl w:val="076294A0"/>
    <w:lvl w:ilvl="0" w:tplc="04090019">
      <w:start w:val="1"/>
      <w:numFmt w:val="lowerLetter"/>
      <w:lvlText w:val="%1."/>
      <w:lvlJc w:val="left"/>
      <w:pPr>
        <w:ind w:left="720" w:hanging="360"/>
      </w:pPr>
      <w:rPr>
        <w:rFonts w:hint="default"/>
      </w:rPr>
    </w:lvl>
    <w:lvl w:ilvl="1" w:tplc="CF6CEB5C">
      <w:start w:val="1"/>
      <w:numFmt w:val="lowerRoman"/>
      <w:lvlText w:val="%2."/>
      <w:lvlJc w:val="left"/>
      <w:pPr>
        <w:ind w:left="1800" w:hanging="720"/>
      </w:pPr>
      <w:rPr>
        <w:rFonts w:hint="default"/>
      </w:rPr>
    </w:lvl>
    <w:lvl w:ilvl="2" w:tplc="3EEC315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DEE"/>
    <w:rsid w:val="000C0116"/>
    <w:rsid w:val="001357AA"/>
    <w:rsid w:val="00180F9D"/>
    <w:rsid w:val="00486F44"/>
    <w:rsid w:val="005F15C6"/>
    <w:rsid w:val="006F69CD"/>
    <w:rsid w:val="00875AF7"/>
    <w:rsid w:val="009F139A"/>
    <w:rsid w:val="00A27314"/>
    <w:rsid w:val="00A66893"/>
    <w:rsid w:val="00B13AF3"/>
    <w:rsid w:val="00B226C8"/>
    <w:rsid w:val="00C03896"/>
    <w:rsid w:val="00DA6DEE"/>
    <w:rsid w:val="00E273F3"/>
    <w:rsid w:val="00E642A0"/>
    <w:rsid w:val="00FD4F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050A5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BalloonText">
    <w:name w:val="Balloon Text"/>
    <w:basedOn w:val="Normal"/>
    <w:link w:val="BalloonTextChar"/>
    <w:uiPriority w:val="99"/>
    <w:semiHidden/>
    <w:unhideWhenUsed/>
    <w:rsid w:val="00FD4F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4F68"/>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BalloonText">
    <w:name w:val="Balloon Text"/>
    <w:basedOn w:val="Normal"/>
    <w:link w:val="BalloonTextChar"/>
    <w:uiPriority w:val="99"/>
    <w:semiHidden/>
    <w:unhideWhenUsed/>
    <w:rsid w:val="00FD4F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4F6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586</Words>
  <Characters>3345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3924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Roneesha  Knight</dc:creator>
  <cp:lastModifiedBy>Knight, Roneesha</cp:lastModifiedBy>
  <cp:revision>2</cp:revision>
  <dcterms:created xsi:type="dcterms:W3CDTF">2015-11-10T22:25:00Z</dcterms:created>
  <dcterms:modified xsi:type="dcterms:W3CDTF">2015-11-10T22:25:00Z</dcterms:modified>
</cp:coreProperties>
</file>