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B05B8" w14:textId="77777777" w:rsidR="00875AF7" w:rsidRDefault="00DA6DEE" w:rsidP="00DA6DEE">
      <w:pPr>
        <w:jc w:val="center"/>
        <w:rPr>
          <w:b/>
          <w:i/>
          <w:u w:val="single"/>
        </w:rPr>
      </w:pPr>
      <w:r w:rsidRPr="00DA6DEE">
        <w:rPr>
          <w:b/>
          <w:i/>
          <w:u w:val="single"/>
        </w:rPr>
        <w:t>SFGH Scanning Protocols</w:t>
      </w:r>
    </w:p>
    <w:p w14:paraId="37506A1B" w14:textId="77777777" w:rsidR="00FE34FE" w:rsidRPr="00FE34FE" w:rsidRDefault="00FE34FE" w:rsidP="00FE34FE">
      <w:pPr>
        <w:jc w:val="center"/>
        <w:rPr>
          <w:color w:val="3366FF"/>
          <w:sz w:val="22"/>
          <w:szCs w:val="22"/>
        </w:rPr>
      </w:pPr>
      <w:r w:rsidRPr="00FE34FE">
        <w:rPr>
          <w:sz w:val="22"/>
          <w:szCs w:val="22"/>
        </w:rPr>
        <w:t>(Adapted from the ACEP</w:t>
      </w:r>
      <w:r>
        <w:rPr>
          <w:sz w:val="22"/>
          <w:szCs w:val="22"/>
        </w:rPr>
        <w:t xml:space="preserve"> Ultrasound Imaging Criteria Compendium)</w:t>
      </w:r>
    </w:p>
    <w:p w14:paraId="542C01DD" w14:textId="77777777" w:rsidR="00FE34FE" w:rsidRDefault="00FE34FE" w:rsidP="00DA6DEE">
      <w:pPr>
        <w:jc w:val="center"/>
      </w:pPr>
    </w:p>
    <w:p w14:paraId="04B718F9" w14:textId="77777777" w:rsidR="00DA6DEE" w:rsidRDefault="00DA6DEE" w:rsidP="00DA6DEE">
      <w:pPr>
        <w:jc w:val="center"/>
      </w:pPr>
    </w:p>
    <w:p w14:paraId="7F45B39D" w14:textId="19BD0D05" w:rsidR="00DA6DEE" w:rsidRPr="00FE34FE" w:rsidRDefault="00F71BA6" w:rsidP="00DA6DEE">
      <w:pPr>
        <w:rPr>
          <w:color w:val="3366FF"/>
          <w:sz w:val="22"/>
          <w:szCs w:val="22"/>
        </w:rPr>
      </w:pPr>
      <w:r>
        <w:rPr>
          <w:b/>
          <w:i/>
          <w:color w:val="3366FF"/>
          <w:sz w:val="48"/>
          <w:szCs w:val="48"/>
        </w:rPr>
        <w:t>Pelvic</w:t>
      </w:r>
    </w:p>
    <w:p w14:paraId="30088B59" w14:textId="77777777" w:rsidR="00DA6DEE" w:rsidRDefault="00DA6DEE" w:rsidP="00DA6DEE"/>
    <w:p w14:paraId="52D6B2EB" w14:textId="77777777" w:rsidR="00DA6DEE" w:rsidRDefault="00DA6DEE" w:rsidP="00DA6DEE">
      <w:pPr>
        <w:pStyle w:val="Default"/>
      </w:pPr>
    </w:p>
    <w:p w14:paraId="119AB631" w14:textId="77777777" w:rsidR="00DA6DEE" w:rsidRPr="00DA6DEE" w:rsidRDefault="00DA6DEE" w:rsidP="00DA6DEE">
      <w:pPr>
        <w:pStyle w:val="Default"/>
        <w:rPr>
          <w:b/>
          <w:sz w:val="22"/>
          <w:szCs w:val="22"/>
          <w:u w:val="single"/>
        </w:rPr>
      </w:pPr>
      <w:r w:rsidRPr="00DA6DEE">
        <w:rPr>
          <w:b/>
          <w:sz w:val="22"/>
          <w:szCs w:val="22"/>
          <w:u w:val="single"/>
        </w:rPr>
        <w:t xml:space="preserve">Indications </w:t>
      </w:r>
    </w:p>
    <w:p w14:paraId="634CF146" w14:textId="77777777" w:rsidR="00411421" w:rsidRDefault="00DA6DEE" w:rsidP="00411421">
      <w:pPr>
        <w:pStyle w:val="Default"/>
        <w:numPr>
          <w:ilvl w:val="0"/>
          <w:numId w:val="6"/>
        </w:numPr>
        <w:rPr>
          <w:b/>
          <w:sz w:val="22"/>
          <w:szCs w:val="22"/>
        </w:rPr>
      </w:pPr>
      <w:r w:rsidRPr="00DA6DEE">
        <w:rPr>
          <w:b/>
          <w:sz w:val="22"/>
          <w:szCs w:val="22"/>
        </w:rPr>
        <w:t xml:space="preserve">Primary </w:t>
      </w:r>
    </w:p>
    <w:p w14:paraId="4295E936" w14:textId="19D0F009" w:rsidR="00411421" w:rsidRPr="00411421" w:rsidRDefault="00411421" w:rsidP="00411421">
      <w:pPr>
        <w:pStyle w:val="Default"/>
        <w:numPr>
          <w:ilvl w:val="1"/>
          <w:numId w:val="6"/>
        </w:numPr>
        <w:rPr>
          <w:b/>
          <w:sz w:val="22"/>
          <w:szCs w:val="22"/>
        </w:rPr>
      </w:pPr>
      <w:r w:rsidRPr="00411421">
        <w:rPr>
          <w:sz w:val="22"/>
          <w:szCs w:val="22"/>
        </w:rPr>
        <w:t xml:space="preserve">To evaluate for the presence of intrauterine pregnancy, minimizing the likelihood of an ectopic pregnancy when modifying factors such as infertility treatment are not present. </w:t>
      </w:r>
    </w:p>
    <w:p w14:paraId="1F72A315" w14:textId="77777777" w:rsidR="0042737F" w:rsidRDefault="00AF7700" w:rsidP="0042737F">
      <w:pPr>
        <w:pStyle w:val="Default"/>
        <w:numPr>
          <w:ilvl w:val="0"/>
          <w:numId w:val="6"/>
        </w:numPr>
        <w:rPr>
          <w:b/>
          <w:sz w:val="22"/>
          <w:szCs w:val="22"/>
        </w:rPr>
      </w:pPr>
      <w:r w:rsidRPr="00DA6DEE">
        <w:rPr>
          <w:b/>
          <w:sz w:val="22"/>
          <w:szCs w:val="22"/>
        </w:rPr>
        <w:t xml:space="preserve"> </w:t>
      </w:r>
      <w:r w:rsidR="007F2B8C">
        <w:rPr>
          <w:b/>
          <w:sz w:val="22"/>
          <w:szCs w:val="22"/>
        </w:rPr>
        <w:t>Extended</w:t>
      </w:r>
      <w:r w:rsidR="0042737F">
        <w:rPr>
          <w:b/>
          <w:sz w:val="22"/>
          <w:szCs w:val="22"/>
        </w:rPr>
        <w:t>/Advanced</w:t>
      </w:r>
    </w:p>
    <w:p w14:paraId="27F3AB05" w14:textId="5FFCE17C" w:rsidR="0042737F" w:rsidRPr="0042737F" w:rsidRDefault="0042737F" w:rsidP="0042737F">
      <w:pPr>
        <w:pStyle w:val="Default"/>
        <w:numPr>
          <w:ilvl w:val="1"/>
          <w:numId w:val="6"/>
        </w:numPr>
        <w:rPr>
          <w:b/>
          <w:sz w:val="22"/>
          <w:szCs w:val="22"/>
        </w:rPr>
      </w:pPr>
      <w:r>
        <w:rPr>
          <w:sz w:val="22"/>
          <w:szCs w:val="22"/>
        </w:rPr>
        <w:t>Ovarian cysts/mass</w:t>
      </w:r>
    </w:p>
    <w:p w14:paraId="0152D8F3" w14:textId="77777777" w:rsidR="0042737F" w:rsidRPr="0042737F" w:rsidRDefault="0042737F" w:rsidP="0042737F">
      <w:pPr>
        <w:pStyle w:val="Default"/>
        <w:numPr>
          <w:ilvl w:val="1"/>
          <w:numId w:val="6"/>
        </w:numPr>
        <w:rPr>
          <w:b/>
          <w:sz w:val="22"/>
          <w:szCs w:val="22"/>
        </w:rPr>
      </w:pPr>
      <w:r w:rsidRPr="0042737F">
        <w:rPr>
          <w:sz w:val="22"/>
          <w:szCs w:val="22"/>
        </w:rPr>
        <w:t xml:space="preserve">Fibroids </w:t>
      </w:r>
    </w:p>
    <w:p w14:paraId="30472941" w14:textId="5E1D67AF" w:rsidR="0042737F" w:rsidRPr="0042737F" w:rsidRDefault="0042737F" w:rsidP="0042737F">
      <w:pPr>
        <w:pStyle w:val="Default"/>
        <w:numPr>
          <w:ilvl w:val="1"/>
          <w:numId w:val="6"/>
        </w:numPr>
        <w:rPr>
          <w:b/>
          <w:sz w:val="22"/>
          <w:szCs w:val="22"/>
        </w:rPr>
      </w:pPr>
      <w:r w:rsidRPr="0042737F">
        <w:rPr>
          <w:sz w:val="22"/>
          <w:szCs w:val="22"/>
        </w:rPr>
        <w:t xml:space="preserve">Identifying suspected ectopic pregnancy </w:t>
      </w:r>
    </w:p>
    <w:p w14:paraId="30C32F7D" w14:textId="77777777" w:rsidR="0042737F" w:rsidRPr="0042737F" w:rsidRDefault="0042737F" w:rsidP="003E0A60">
      <w:pPr>
        <w:pStyle w:val="Default"/>
        <w:ind w:left="720"/>
        <w:rPr>
          <w:b/>
          <w:sz w:val="22"/>
          <w:szCs w:val="22"/>
        </w:rPr>
      </w:pPr>
    </w:p>
    <w:p w14:paraId="3348CA80" w14:textId="77777777" w:rsidR="00DA6DEE" w:rsidRPr="00AF7700" w:rsidRDefault="00DA6DEE" w:rsidP="00AF7700">
      <w:pPr>
        <w:pStyle w:val="Default"/>
        <w:rPr>
          <w:b/>
          <w:sz w:val="22"/>
          <w:szCs w:val="22"/>
          <w:u w:val="single"/>
        </w:rPr>
      </w:pPr>
      <w:r w:rsidRPr="00AF7700">
        <w:rPr>
          <w:b/>
          <w:sz w:val="22"/>
          <w:szCs w:val="22"/>
          <w:u w:val="single"/>
        </w:rPr>
        <w:t xml:space="preserve">Contraindications </w:t>
      </w:r>
    </w:p>
    <w:p w14:paraId="6D52477E" w14:textId="523A49EF" w:rsidR="00DA6DEE" w:rsidRPr="003E0A60" w:rsidRDefault="00DA6DEE" w:rsidP="00DA6DEE">
      <w:pPr>
        <w:pStyle w:val="Default"/>
        <w:numPr>
          <w:ilvl w:val="1"/>
          <w:numId w:val="5"/>
        </w:numPr>
        <w:rPr>
          <w:sz w:val="22"/>
          <w:szCs w:val="22"/>
        </w:rPr>
      </w:pPr>
      <w:r w:rsidRPr="003E0A60">
        <w:rPr>
          <w:sz w:val="22"/>
          <w:szCs w:val="22"/>
        </w:rPr>
        <w:t>There are no absolute</w:t>
      </w:r>
      <w:r w:rsidR="008849F1" w:rsidRPr="003E0A60">
        <w:rPr>
          <w:sz w:val="22"/>
          <w:szCs w:val="22"/>
        </w:rPr>
        <w:t xml:space="preserve"> contraindications</w:t>
      </w:r>
      <w:r w:rsidR="00A464FE" w:rsidRPr="003E0A60">
        <w:rPr>
          <w:sz w:val="22"/>
          <w:szCs w:val="22"/>
        </w:rPr>
        <w:t xml:space="preserve"> to emergency ultrasound (EUS) of the </w:t>
      </w:r>
      <w:r w:rsidR="003E0A60" w:rsidRPr="003E0A60">
        <w:rPr>
          <w:sz w:val="22"/>
          <w:szCs w:val="22"/>
        </w:rPr>
        <w:t>pelvis</w:t>
      </w:r>
      <w:r w:rsidR="008849F1" w:rsidRPr="003E0A60">
        <w:rPr>
          <w:sz w:val="22"/>
          <w:szCs w:val="22"/>
        </w:rPr>
        <w:t xml:space="preserve">. </w:t>
      </w:r>
    </w:p>
    <w:p w14:paraId="088D98D3" w14:textId="77777777" w:rsidR="00DA6DEE" w:rsidRPr="00AF7700" w:rsidRDefault="00DA6DEE" w:rsidP="00AF7700">
      <w:pPr>
        <w:pStyle w:val="Default"/>
        <w:rPr>
          <w:b/>
          <w:sz w:val="22"/>
          <w:szCs w:val="22"/>
          <w:u w:val="single"/>
        </w:rPr>
      </w:pPr>
      <w:r w:rsidRPr="00AF7700">
        <w:rPr>
          <w:b/>
          <w:sz w:val="22"/>
          <w:szCs w:val="22"/>
          <w:u w:val="single"/>
        </w:rPr>
        <w:t xml:space="preserve">Limitations </w:t>
      </w:r>
    </w:p>
    <w:p w14:paraId="045A0F96" w14:textId="77777777" w:rsidR="003E0A60" w:rsidRPr="003E0A60" w:rsidRDefault="003E0A60" w:rsidP="003E0A60">
      <w:pPr>
        <w:pStyle w:val="ListParagraph"/>
        <w:widowControl w:val="0"/>
        <w:numPr>
          <w:ilvl w:val="0"/>
          <w:numId w:val="15"/>
        </w:numPr>
        <w:autoSpaceDE w:val="0"/>
        <w:autoSpaceDN w:val="0"/>
        <w:adjustRightInd w:val="0"/>
        <w:rPr>
          <w:rFonts w:ascii="Times New Roman" w:hAnsi="Times New Roman" w:cs="Times New Roman"/>
          <w:color w:val="000000"/>
        </w:rPr>
      </w:pPr>
      <w:r w:rsidRPr="003E0A60">
        <w:rPr>
          <w:rFonts w:ascii="Times New Roman" w:hAnsi="Times New Roman" w:cs="Times New Roman"/>
          <w:color w:val="000000"/>
          <w:sz w:val="22"/>
          <w:szCs w:val="22"/>
        </w:rPr>
        <w:t xml:space="preserve">Infertility patients or others with specifically known risk factors for heterotopic pregnancy. </w:t>
      </w:r>
    </w:p>
    <w:p w14:paraId="0E149A4D" w14:textId="0879961E" w:rsidR="003E0A60" w:rsidRPr="003E0A60" w:rsidRDefault="003E0A60" w:rsidP="003E0A60">
      <w:pPr>
        <w:pStyle w:val="ListParagraph"/>
        <w:widowControl w:val="0"/>
        <w:numPr>
          <w:ilvl w:val="0"/>
          <w:numId w:val="15"/>
        </w:numPr>
        <w:autoSpaceDE w:val="0"/>
        <w:autoSpaceDN w:val="0"/>
        <w:adjustRightInd w:val="0"/>
        <w:spacing w:after="21"/>
        <w:rPr>
          <w:rFonts w:ascii="Times New Roman" w:hAnsi="Times New Roman" w:cs="Times New Roman"/>
          <w:color w:val="000000"/>
          <w:sz w:val="22"/>
          <w:szCs w:val="22"/>
        </w:rPr>
      </w:pPr>
      <w:r w:rsidRPr="003E0A60">
        <w:rPr>
          <w:rFonts w:ascii="Times New Roman" w:hAnsi="Times New Roman" w:cs="Times New Roman"/>
          <w:color w:val="000000"/>
          <w:sz w:val="22"/>
          <w:szCs w:val="22"/>
        </w:rPr>
        <w:t xml:space="preserve">Assessing pelvic sonographic anatomy after vaginal-rectal surgery </w:t>
      </w:r>
    </w:p>
    <w:p w14:paraId="47704747" w14:textId="3B80A3B6" w:rsidR="003E0A60" w:rsidRPr="003E0A60" w:rsidRDefault="003E0A60" w:rsidP="003E0A60">
      <w:pPr>
        <w:pStyle w:val="ListParagraph"/>
        <w:widowControl w:val="0"/>
        <w:numPr>
          <w:ilvl w:val="0"/>
          <w:numId w:val="15"/>
        </w:numPr>
        <w:autoSpaceDE w:val="0"/>
        <w:autoSpaceDN w:val="0"/>
        <w:adjustRightInd w:val="0"/>
        <w:rPr>
          <w:rFonts w:ascii="Times New Roman" w:hAnsi="Times New Roman" w:cs="Times New Roman"/>
          <w:color w:val="000000"/>
          <w:sz w:val="22"/>
          <w:szCs w:val="22"/>
        </w:rPr>
      </w:pPr>
      <w:r w:rsidRPr="003E0A60">
        <w:rPr>
          <w:rFonts w:ascii="Times New Roman" w:hAnsi="Times New Roman" w:cs="Times New Roman"/>
          <w:color w:val="000000"/>
          <w:sz w:val="22"/>
          <w:szCs w:val="22"/>
        </w:rPr>
        <w:t xml:space="preserve">Evaluation of fetal health outside of fetal heart rate determination </w:t>
      </w:r>
    </w:p>
    <w:p w14:paraId="7190E36E" w14:textId="77777777" w:rsidR="00E642A0" w:rsidRDefault="00E642A0" w:rsidP="00E642A0">
      <w:pPr>
        <w:pStyle w:val="Default"/>
        <w:ind w:left="2160"/>
        <w:rPr>
          <w:sz w:val="22"/>
          <w:szCs w:val="22"/>
        </w:rPr>
      </w:pPr>
    </w:p>
    <w:p w14:paraId="1E47F0E4" w14:textId="1864923D" w:rsidR="00A66893" w:rsidRPr="00D8184D" w:rsidRDefault="00E642A0" w:rsidP="00D8184D">
      <w:pPr>
        <w:pStyle w:val="Default"/>
        <w:rPr>
          <w:b/>
          <w:sz w:val="22"/>
          <w:szCs w:val="22"/>
          <w:u w:val="single"/>
        </w:rPr>
      </w:pPr>
      <w:r w:rsidRPr="00D8184D">
        <w:rPr>
          <w:b/>
          <w:sz w:val="22"/>
          <w:szCs w:val="22"/>
          <w:u w:val="single"/>
        </w:rPr>
        <w:t>Technique</w:t>
      </w:r>
    </w:p>
    <w:p w14:paraId="72C5E7CF" w14:textId="38AD8061" w:rsidR="00F90357" w:rsidRPr="00204569" w:rsidRDefault="003E0A60" w:rsidP="003E0A60">
      <w:pPr>
        <w:pStyle w:val="Default"/>
        <w:numPr>
          <w:ilvl w:val="1"/>
          <w:numId w:val="9"/>
        </w:numPr>
        <w:rPr>
          <w:b/>
          <w:sz w:val="22"/>
          <w:szCs w:val="22"/>
        </w:rPr>
      </w:pPr>
      <w:r>
        <w:rPr>
          <w:sz w:val="22"/>
          <w:szCs w:val="22"/>
        </w:rPr>
        <w:t xml:space="preserve">Due </w:t>
      </w:r>
      <w:r w:rsidRPr="003E0A60">
        <w:rPr>
          <w:sz w:val="22"/>
          <w:szCs w:val="22"/>
        </w:rPr>
        <w:t>to the time-critical and dynamic nature of ectopic pregnancy and other pathologic conditions of the pelvis, emergency interventions may be mandated by the diagnostic findings of the EUS of the pelvis. For this reason, EUS of the pelvis should occur as soon as the clinical decision is made that the patient needs a sonographic evaluation.</w:t>
      </w:r>
    </w:p>
    <w:p w14:paraId="171DC941" w14:textId="3D5033EC" w:rsidR="00204569" w:rsidRDefault="00204569" w:rsidP="003E0A60">
      <w:pPr>
        <w:pStyle w:val="Default"/>
        <w:numPr>
          <w:ilvl w:val="1"/>
          <w:numId w:val="9"/>
        </w:numPr>
        <w:rPr>
          <w:sz w:val="22"/>
          <w:szCs w:val="22"/>
        </w:rPr>
      </w:pPr>
      <w:r w:rsidRPr="00204569">
        <w:rPr>
          <w:sz w:val="22"/>
          <w:szCs w:val="22"/>
        </w:rPr>
        <w:t>Organs and s</w:t>
      </w:r>
      <w:r>
        <w:rPr>
          <w:sz w:val="22"/>
          <w:szCs w:val="22"/>
        </w:rPr>
        <w:t>tructures evaluated by pelvis EUS are scanned systematically in real time through all tissue planes in at least two orthogonal directions. The primary focus of the pelvic EUS is the identification on an intrauterine pregnancy. Pelvic sonographic evaluations for other pelvic pathology, as described in “Extended Indication” are performed based on the clinical situation and appropriate physician’s sonographic experience.</w:t>
      </w:r>
    </w:p>
    <w:p w14:paraId="69BA2356" w14:textId="77777777" w:rsidR="009F125E" w:rsidRPr="00204569" w:rsidRDefault="009F125E" w:rsidP="009F125E">
      <w:pPr>
        <w:pStyle w:val="Default"/>
        <w:ind w:left="1440"/>
        <w:rPr>
          <w:sz w:val="22"/>
          <w:szCs w:val="22"/>
        </w:rPr>
      </w:pPr>
    </w:p>
    <w:p w14:paraId="6390DA84" w14:textId="77777777" w:rsidR="00E13831" w:rsidRPr="00E13831" w:rsidRDefault="00E13831" w:rsidP="00E13831">
      <w:pPr>
        <w:pStyle w:val="Default"/>
        <w:numPr>
          <w:ilvl w:val="1"/>
          <w:numId w:val="9"/>
        </w:numPr>
        <w:rPr>
          <w:b/>
          <w:sz w:val="22"/>
          <w:szCs w:val="22"/>
        </w:rPr>
      </w:pPr>
      <w:r>
        <w:rPr>
          <w:b/>
          <w:i/>
          <w:sz w:val="22"/>
          <w:szCs w:val="22"/>
        </w:rPr>
        <w:t>Uterus</w:t>
      </w:r>
      <w:r w:rsidR="009B4188" w:rsidRPr="00F90357">
        <w:rPr>
          <w:b/>
          <w:i/>
          <w:sz w:val="22"/>
          <w:szCs w:val="22"/>
        </w:rPr>
        <w:t xml:space="preserve"> Evaluation</w:t>
      </w:r>
    </w:p>
    <w:p w14:paraId="738EAB37" w14:textId="471BD584" w:rsidR="00E13831" w:rsidRPr="00E13831" w:rsidRDefault="00E13831" w:rsidP="00E13831">
      <w:pPr>
        <w:pStyle w:val="Default"/>
        <w:numPr>
          <w:ilvl w:val="2"/>
          <w:numId w:val="9"/>
        </w:numPr>
        <w:rPr>
          <w:b/>
          <w:sz w:val="22"/>
          <w:szCs w:val="22"/>
        </w:rPr>
      </w:pPr>
      <w:r w:rsidRPr="00E13831">
        <w:rPr>
          <w:sz w:val="22"/>
          <w:szCs w:val="22"/>
        </w:rPr>
        <w:t xml:space="preserve">The uterus should be examined in at least two planes, the short- and long-axis, to avoid missing important findings that may lie off midline or outside the endometrial canal, such as an interstitial pregnancy or fibroids. The uterus should be traced from the fundus to the cervix, confirming that it is actually the uterus that is being scanned rather than a gestational reaction from a large ectopic pregnancy. Fibroids, which can cause significant pain and even bleeding, should be noted. </w:t>
      </w:r>
      <w:r w:rsidRPr="003757EA">
        <w:rPr>
          <w:b/>
          <w:i/>
          <w:color w:val="FF0000"/>
          <w:sz w:val="22"/>
          <w:szCs w:val="22"/>
        </w:rPr>
        <w:t xml:space="preserve">A pregnancy located less than 5 to 7 mm (exact minimum normal distance varies from reference to reference) from the edge of the myometrium is </w:t>
      </w:r>
      <w:r w:rsidRPr="003757EA">
        <w:rPr>
          <w:b/>
          <w:i/>
          <w:color w:val="FF0000"/>
          <w:sz w:val="22"/>
          <w:szCs w:val="22"/>
        </w:rPr>
        <w:lastRenderedPageBreak/>
        <w:t>concerning for being an interstitial ectopic pregnancy.</w:t>
      </w:r>
      <w:r w:rsidRPr="00E13831">
        <w:rPr>
          <w:sz w:val="22"/>
          <w:szCs w:val="22"/>
        </w:rPr>
        <w:t xml:space="preserve"> </w:t>
      </w:r>
    </w:p>
    <w:p w14:paraId="37A0C078" w14:textId="77777777" w:rsidR="00E13831" w:rsidRDefault="00E13831" w:rsidP="00E13831">
      <w:pPr>
        <w:pStyle w:val="Default"/>
        <w:numPr>
          <w:ilvl w:val="1"/>
          <w:numId w:val="9"/>
        </w:numPr>
        <w:rPr>
          <w:b/>
          <w:i/>
          <w:sz w:val="22"/>
          <w:szCs w:val="22"/>
        </w:rPr>
      </w:pPr>
      <w:r w:rsidRPr="00E13831">
        <w:rPr>
          <w:b/>
          <w:i/>
          <w:sz w:val="22"/>
          <w:szCs w:val="22"/>
        </w:rPr>
        <w:t>Cul-de-Sac Evaluation</w:t>
      </w:r>
    </w:p>
    <w:p w14:paraId="7396B2C4" w14:textId="2D048C5E" w:rsidR="00E13831" w:rsidRPr="009F125E" w:rsidRDefault="00E13831" w:rsidP="00E13831">
      <w:pPr>
        <w:pStyle w:val="Default"/>
        <w:numPr>
          <w:ilvl w:val="2"/>
          <w:numId w:val="9"/>
        </w:numPr>
        <w:rPr>
          <w:b/>
          <w:i/>
          <w:sz w:val="22"/>
          <w:szCs w:val="22"/>
        </w:rPr>
      </w:pPr>
      <w:r w:rsidRPr="00E13831">
        <w:rPr>
          <w:sz w:val="22"/>
          <w:szCs w:val="22"/>
        </w:rPr>
        <w:t xml:space="preserve">The cul-de-sac or pouch of Douglas may contain small to moderate amounts of fluid in the normal female pelvis depending on her point in the menstrual cycle. Large amounts of fluid are abnormal but may not be tied to significant pathology. When an ectopic pregnancy is of concern, a significant amount of fluid in the pouch of Douglas raises the concern for rupture. Echogenic fluid in the pelvis may be consistent with either pus or blood. </w:t>
      </w:r>
    </w:p>
    <w:p w14:paraId="58199D73" w14:textId="77777777" w:rsidR="009F125E" w:rsidRPr="00E13831" w:rsidRDefault="009F125E" w:rsidP="009F125E">
      <w:pPr>
        <w:pStyle w:val="Default"/>
        <w:ind w:left="2160"/>
        <w:rPr>
          <w:b/>
          <w:i/>
          <w:sz w:val="22"/>
          <w:szCs w:val="22"/>
        </w:rPr>
      </w:pPr>
    </w:p>
    <w:p w14:paraId="7984F4D0" w14:textId="69EE70AB" w:rsidR="006D648B" w:rsidRPr="006D648B" w:rsidRDefault="00015DC9" w:rsidP="006D648B">
      <w:pPr>
        <w:pStyle w:val="ListParagraph"/>
        <w:widowControl w:val="0"/>
        <w:numPr>
          <w:ilvl w:val="1"/>
          <w:numId w:val="9"/>
        </w:numPr>
        <w:autoSpaceDE w:val="0"/>
        <w:autoSpaceDN w:val="0"/>
        <w:adjustRightInd w:val="0"/>
        <w:rPr>
          <w:rFonts w:ascii="Times New Roman" w:hAnsi="Times New Roman" w:cs="Times New Roman"/>
          <w:b/>
          <w:i/>
          <w:color w:val="000000"/>
        </w:rPr>
      </w:pPr>
      <w:r>
        <w:rPr>
          <w:rFonts w:ascii="Times New Roman" w:hAnsi="Times New Roman" w:cs="Times New Roman"/>
          <w:b/>
          <w:i/>
          <w:color w:val="000000"/>
        </w:rPr>
        <w:t>Adnexal</w:t>
      </w:r>
      <w:r w:rsidR="006D648B" w:rsidRPr="006D648B">
        <w:rPr>
          <w:rFonts w:ascii="Times New Roman" w:hAnsi="Times New Roman" w:cs="Times New Roman"/>
          <w:b/>
          <w:i/>
          <w:color w:val="000000"/>
        </w:rPr>
        <w:t xml:space="preserve"> Evaluation</w:t>
      </w:r>
    </w:p>
    <w:p w14:paraId="7CB0C9B1" w14:textId="7699AAE9" w:rsidR="006D648B" w:rsidRDefault="006D648B" w:rsidP="006D648B">
      <w:pPr>
        <w:pStyle w:val="ListParagraph"/>
        <w:widowControl w:val="0"/>
        <w:numPr>
          <w:ilvl w:val="2"/>
          <w:numId w:val="9"/>
        </w:numPr>
        <w:autoSpaceDE w:val="0"/>
        <w:autoSpaceDN w:val="0"/>
        <w:adjustRightInd w:val="0"/>
        <w:rPr>
          <w:rFonts w:ascii="Times New Roman" w:hAnsi="Times New Roman" w:cs="Times New Roman"/>
          <w:color w:val="000000"/>
          <w:sz w:val="22"/>
          <w:szCs w:val="22"/>
        </w:rPr>
      </w:pPr>
      <w:r w:rsidRPr="006D648B">
        <w:rPr>
          <w:rFonts w:ascii="Times New Roman" w:hAnsi="Times New Roman" w:cs="Times New Roman"/>
          <w:color w:val="000000"/>
          <w:sz w:val="22"/>
          <w:szCs w:val="22"/>
        </w:rPr>
        <w:t xml:space="preserve">Each </w:t>
      </w:r>
      <w:r w:rsidR="00015DC9">
        <w:rPr>
          <w:rFonts w:ascii="Times New Roman" w:hAnsi="Times New Roman" w:cs="Times New Roman"/>
          <w:color w:val="000000"/>
          <w:sz w:val="22"/>
          <w:szCs w:val="22"/>
        </w:rPr>
        <w:t xml:space="preserve">adnexa </w:t>
      </w:r>
      <w:r w:rsidRPr="006D648B">
        <w:rPr>
          <w:rFonts w:ascii="Times New Roman" w:hAnsi="Times New Roman" w:cs="Times New Roman"/>
          <w:color w:val="000000"/>
          <w:sz w:val="22"/>
          <w:szCs w:val="22"/>
        </w:rPr>
        <w:t xml:space="preserve">should also be scanned in at least two planes, short- and long-axis. This technique should enable visualization of possible masses juxtaposed to the ovary as well as cysts located on the periphery of an ovary. In the first trimester patient with pain evaluating the ovaries may identify an unexpected cause for pain. For instance, ovarian masses, cysts, or ovarian torsion may be the etiology of a patient’s pain. </w:t>
      </w:r>
    </w:p>
    <w:p w14:paraId="450EC176" w14:textId="1A95D603" w:rsidR="00707DF0" w:rsidRPr="006D648B" w:rsidRDefault="00707DF0" w:rsidP="00707DF0">
      <w:pPr>
        <w:pStyle w:val="ListParagraph"/>
        <w:widowControl w:val="0"/>
        <w:autoSpaceDE w:val="0"/>
        <w:autoSpaceDN w:val="0"/>
        <w:adjustRightInd w:val="0"/>
        <w:ind w:left="2160"/>
        <w:rPr>
          <w:rFonts w:ascii="Times New Roman" w:hAnsi="Times New Roman" w:cs="Times New Roman"/>
          <w:color w:val="000000"/>
          <w:sz w:val="22"/>
          <w:szCs w:val="22"/>
        </w:rPr>
      </w:pPr>
      <w:r>
        <w:rPr>
          <w:rFonts w:ascii="Times New Roman" w:hAnsi="Times New Roman" w:cs="Times New Roman"/>
          <w:noProof/>
          <w:color w:val="000000"/>
          <w:sz w:val="22"/>
          <w:szCs w:val="22"/>
        </w:rPr>
        <w:drawing>
          <wp:inline distT="0" distB="0" distL="0" distR="0" wp14:anchorId="013FFE7F" wp14:editId="65182DE4">
            <wp:extent cx="5486400" cy="2623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NEXA COMBO.tiff"/>
                    <pic:cNvPicPr/>
                  </pic:nvPicPr>
                  <pic:blipFill>
                    <a:blip r:embed="rId6">
                      <a:extLst>
                        <a:ext uri="{28A0092B-C50C-407E-A947-70E740481C1C}">
                          <a14:useLocalDpi xmlns:a14="http://schemas.microsoft.com/office/drawing/2010/main" val="0"/>
                        </a:ext>
                      </a:extLst>
                    </a:blip>
                    <a:stretch>
                      <a:fillRect/>
                    </a:stretch>
                  </pic:blipFill>
                  <pic:spPr>
                    <a:xfrm>
                      <a:off x="0" y="0"/>
                      <a:ext cx="5486400" cy="2623185"/>
                    </a:xfrm>
                    <a:prstGeom prst="rect">
                      <a:avLst/>
                    </a:prstGeom>
                  </pic:spPr>
                </pic:pic>
              </a:graphicData>
            </a:graphic>
          </wp:inline>
        </w:drawing>
      </w:r>
    </w:p>
    <w:p w14:paraId="499F95AF" w14:textId="77777777" w:rsidR="005B3D55" w:rsidRPr="005B3D55" w:rsidRDefault="005B3D55" w:rsidP="005B3D55">
      <w:pPr>
        <w:pStyle w:val="ListParagraph"/>
        <w:widowControl w:val="0"/>
        <w:autoSpaceDE w:val="0"/>
        <w:autoSpaceDN w:val="0"/>
        <w:adjustRightInd w:val="0"/>
        <w:rPr>
          <w:rFonts w:ascii="Times New Roman" w:hAnsi="Times New Roman" w:cs="Times New Roman"/>
          <w:color w:val="000000"/>
        </w:rPr>
      </w:pPr>
    </w:p>
    <w:p w14:paraId="10C74A0D" w14:textId="77777777" w:rsidR="003757EA" w:rsidRDefault="003757EA">
      <w:pPr>
        <w:rPr>
          <w:rFonts w:ascii="Times New Roman" w:hAnsi="Times New Roman" w:cs="Times New Roman"/>
          <w:b/>
          <w:i/>
          <w:color w:val="000000"/>
          <w:sz w:val="22"/>
          <w:szCs w:val="22"/>
        </w:rPr>
      </w:pPr>
      <w:r>
        <w:rPr>
          <w:rFonts w:ascii="Times New Roman" w:hAnsi="Times New Roman" w:cs="Times New Roman"/>
          <w:b/>
          <w:i/>
          <w:color w:val="000000"/>
          <w:sz w:val="22"/>
          <w:szCs w:val="22"/>
        </w:rPr>
        <w:br w:type="page"/>
      </w:r>
    </w:p>
    <w:p w14:paraId="53497DD4" w14:textId="4743D821" w:rsidR="005B3D55" w:rsidRDefault="005B3D55" w:rsidP="005B3D55">
      <w:pPr>
        <w:pStyle w:val="ListParagraph"/>
        <w:widowControl w:val="0"/>
        <w:numPr>
          <w:ilvl w:val="1"/>
          <w:numId w:val="9"/>
        </w:numPr>
        <w:autoSpaceDE w:val="0"/>
        <w:autoSpaceDN w:val="0"/>
        <w:adjustRightInd w:val="0"/>
        <w:rPr>
          <w:rFonts w:ascii="Times New Roman" w:hAnsi="Times New Roman" w:cs="Times New Roman"/>
          <w:color w:val="000000"/>
          <w:sz w:val="22"/>
          <w:szCs w:val="22"/>
        </w:rPr>
      </w:pPr>
      <w:proofErr w:type="spellStart"/>
      <w:r w:rsidRPr="005B3D55">
        <w:rPr>
          <w:rFonts w:ascii="Times New Roman" w:hAnsi="Times New Roman" w:cs="Times New Roman"/>
          <w:b/>
          <w:i/>
          <w:color w:val="000000"/>
          <w:sz w:val="22"/>
          <w:szCs w:val="22"/>
        </w:rPr>
        <w:t>Transabdominal</w:t>
      </w:r>
      <w:proofErr w:type="spellEnd"/>
      <w:r w:rsidRPr="005B3D55">
        <w:rPr>
          <w:rFonts w:ascii="Times New Roman" w:hAnsi="Times New Roman" w:cs="Times New Roman"/>
          <w:b/>
          <w:i/>
          <w:color w:val="000000"/>
          <w:sz w:val="22"/>
          <w:szCs w:val="22"/>
        </w:rPr>
        <w:t xml:space="preserve"> Scanning</w:t>
      </w:r>
      <w:r w:rsidRPr="005B3D55">
        <w:rPr>
          <w:rFonts w:ascii="Times New Roman" w:hAnsi="Times New Roman" w:cs="Times New Roman"/>
          <w:color w:val="000000"/>
          <w:sz w:val="22"/>
          <w:szCs w:val="22"/>
        </w:rPr>
        <w:t xml:space="preserve"> </w:t>
      </w:r>
    </w:p>
    <w:p w14:paraId="0A3E27FB" w14:textId="456D14F8" w:rsidR="005B3D55" w:rsidRPr="005B3D55" w:rsidRDefault="005B3D55" w:rsidP="005B3D55">
      <w:pPr>
        <w:pStyle w:val="ListParagraph"/>
        <w:widowControl w:val="0"/>
        <w:numPr>
          <w:ilvl w:val="2"/>
          <w:numId w:val="9"/>
        </w:numPr>
        <w:autoSpaceDE w:val="0"/>
        <w:autoSpaceDN w:val="0"/>
        <w:adjustRightInd w:val="0"/>
        <w:rPr>
          <w:rFonts w:ascii="Times New Roman" w:hAnsi="Times New Roman" w:cs="Times New Roman"/>
          <w:color w:val="000000"/>
          <w:sz w:val="22"/>
          <w:szCs w:val="22"/>
        </w:rPr>
      </w:pPr>
      <w:r w:rsidRPr="005B3D55">
        <w:rPr>
          <w:rFonts w:ascii="Times New Roman" w:hAnsi="Times New Roman" w:cs="Times New Roman"/>
          <w:color w:val="000000"/>
          <w:sz w:val="22"/>
          <w:szCs w:val="22"/>
        </w:rPr>
        <w:t xml:space="preserve">The patient lies supine on the examination table. The transducer is placed on the lower abdomen just above the </w:t>
      </w:r>
      <w:proofErr w:type="spellStart"/>
      <w:r w:rsidRPr="005B3D55">
        <w:rPr>
          <w:rFonts w:ascii="Times New Roman" w:hAnsi="Times New Roman" w:cs="Times New Roman"/>
          <w:color w:val="000000"/>
          <w:sz w:val="22"/>
          <w:szCs w:val="22"/>
        </w:rPr>
        <w:t>symphysis</w:t>
      </w:r>
      <w:proofErr w:type="spellEnd"/>
      <w:r w:rsidRPr="005B3D55">
        <w:rPr>
          <w:rFonts w:ascii="Times New Roman" w:hAnsi="Times New Roman" w:cs="Times New Roman"/>
          <w:color w:val="000000"/>
          <w:sz w:val="22"/>
          <w:szCs w:val="22"/>
        </w:rPr>
        <w:t xml:space="preserve"> pubis and the pelvic organs are examined through a window of the distended bladder. Bladder filling is ideal when the bladder dome is just above the uterine fundus. Under distention limits visualization of the uterus and other pelvic organs. Images are obtained in sagittal and transverse planes. To optimally image the uterus, the transducer is aligned with the long axis of the uterus, which is often angled right or left of the midline cervix. The ovaries and adnexa are best seen by sliding the transducer to the contralateral side and angling back toward the ovary of interest. The </w:t>
      </w:r>
      <w:proofErr w:type="spellStart"/>
      <w:r w:rsidRPr="005B3D55">
        <w:rPr>
          <w:rFonts w:ascii="Times New Roman" w:hAnsi="Times New Roman" w:cs="Times New Roman"/>
          <w:color w:val="000000"/>
          <w:sz w:val="22"/>
          <w:szCs w:val="22"/>
        </w:rPr>
        <w:t>transabdominal</w:t>
      </w:r>
      <w:proofErr w:type="spellEnd"/>
      <w:r w:rsidRPr="005B3D55">
        <w:rPr>
          <w:rFonts w:ascii="Times New Roman" w:hAnsi="Times New Roman" w:cs="Times New Roman"/>
          <w:color w:val="000000"/>
          <w:sz w:val="22"/>
          <w:szCs w:val="22"/>
        </w:rPr>
        <w:t xml:space="preserve"> technique provides the best overview of the pelvis. </w:t>
      </w:r>
    </w:p>
    <w:p w14:paraId="70B8ADDE" w14:textId="77777777" w:rsidR="003757EA" w:rsidRDefault="003757EA">
      <w:pPr>
        <w:rPr>
          <w:b/>
          <w:i/>
          <w:sz w:val="22"/>
          <w:szCs w:val="22"/>
        </w:rPr>
      </w:pPr>
      <w:r>
        <w:rPr>
          <w:b/>
          <w:i/>
          <w:noProof/>
          <w:sz w:val="22"/>
          <w:szCs w:val="22"/>
        </w:rPr>
        <w:drawing>
          <wp:inline distT="0" distB="0" distL="0" distR="0" wp14:anchorId="6B4BF40A" wp14:editId="769C9979">
            <wp:extent cx="5486400" cy="3094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bd Sag Empty Ut.tiff"/>
                    <pic:cNvPicPr/>
                  </pic:nvPicPr>
                  <pic:blipFill>
                    <a:blip r:embed="rId7">
                      <a:extLst>
                        <a:ext uri="{28A0092B-C50C-407E-A947-70E740481C1C}">
                          <a14:useLocalDpi xmlns:a14="http://schemas.microsoft.com/office/drawing/2010/main" val="0"/>
                        </a:ext>
                      </a:extLst>
                    </a:blip>
                    <a:stretch>
                      <a:fillRect/>
                    </a:stretch>
                  </pic:blipFill>
                  <pic:spPr>
                    <a:xfrm>
                      <a:off x="0" y="0"/>
                      <a:ext cx="5486400" cy="3094355"/>
                    </a:xfrm>
                    <a:prstGeom prst="rect">
                      <a:avLst/>
                    </a:prstGeom>
                  </pic:spPr>
                </pic:pic>
              </a:graphicData>
            </a:graphic>
          </wp:inline>
        </w:drawing>
      </w:r>
    </w:p>
    <w:p w14:paraId="40943692" w14:textId="77777777" w:rsidR="003757EA" w:rsidRDefault="003757EA">
      <w:pPr>
        <w:rPr>
          <w:b/>
          <w:i/>
          <w:sz w:val="22"/>
          <w:szCs w:val="22"/>
        </w:rPr>
      </w:pPr>
    </w:p>
    <w:p w14:paraId="236250E1" w14:textId="06209E62" w:rsidR="004956FE" w:rsidRPr="003757EA" w:rsidRDefault="003757EA">
      <w:pPr>
        <w:rPr>
          <w:rFonts w:ascii="Times New Roman" w:hAnsi="Times New Roman" w:cs="Times New Roman"/>
          <w:color w:val="000000"/>
          <w:sz w:val="22"/>
          <w:szCs w:val="22"/>
        </w:rPr>
      </w:pPr>
      <w:r>
        <w:rPr>
          <w:b/>
          <w:i/>
          <w:noProof/>
          <w:sz w:val="22"/>
          <w:szCs w:val="22"/>
        </w:rPr>
        <w:drawing>
          <wp:inline distT="0" distB="0" distL="0" distR="0" wp14:anchorId="2C68CB07" wp14:editId="128CEE44">
            <wp:extent cx="5486400" cy="3094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bd Sag Empty Ut.tiff"/>
                    <pic:cNvPicPr/>
                  </pic:nvPicPr>
                  <pic:blipFill>
                    <a:blip r:embed="rId7">
                      <a:extLst>
                        <a:ext uri="{28A0092B-C50C-407E-A947-70E740481C1C}">
                          <a14:useLocalDpi xmlns:a14="http://schemas.microsoft.com/office/drawing/2010/main" val="0"/>
                        </a:ext>
                      </a:extLst>
                    </a:blip>
                    <a:stretch>
                      <a:fillRect/>
                    </a:stretch>
                  </pic:blipFill>
                  <pic:spPr>
                    <a:xfrm>
                      <a:off x="0" y="0"/>
                      <a:ext cx="5486400" cy="3094355"/>
                    </a:xfrm>
                    <a:prstGeom prst="rect">
                      <a:avLst/>
                    </a:prstGeom>
                  </pic:spPr>
                </pic:pic>
              </a:graphicData>
            </a:graphic>
          </wp:inline>
        </w:drawing>
      </w:r>
      <w:r w:rsidR="004956FE">
        <w:rPr>
          <w:b/>
          <w:i/>
          <w:sz w:val="22"/>
          <w:szCs w:val="22"/>
        </w:rPr>
        <w:br w:type="page"/>
      </w:r>
    </w:p>
    <w:p w14:paraId="0932C662" w14:textId="2990643D" w:rsidR="00CA5CC3" w:rsidRDefault="00CA5CC3" w:rsidP="00CA5CC3">
      <w:pPr>
        <w:pStyle w:val="Default"/>
        <w:numPr>
          <w:ilvl w:val="1"/>
          <w:numId w:val="9"/>
        </w:numPr>
        <w:rPr>
          <w:b/>
          <w:i/>
          <w:sz w:val="22"/>
          <w:szCs w:val="22"/>
        </w:rPr>
      </w:pPr>
      <w:proofErr w:type="spellStart"/>
      <w:r w:rsidRPr="00CA5CC3">
        <w:rPr>
          <w:b/>
          <w:i/>
          <w:sz w:val="22"/>
          <w:szCs w:val="22"/>
        </w:rPr>
        <w:t>Transvaginal</w:t>
      </w:r>
      <w:proofErr w:type="spellEnd"/>
      <w:r w:rsidRPr="00CA5CC3">
        <w:rPr>
          <w:b/>
          <w:i/>
          <w:sz w:val="22"/>
          <w:szCs w:val="22"/>
        </w:rPr>
        <w:t xml:space="preserve"> Scanning</w:t>
      </w:r>
    </w:p>
    <w:p w14:paraId="3A70B003" w14:textId="1D35814A" w:rsidR="00F90357" w:rsidRPr="00CA5CC3" w:rsidRDefault="00CA5CC3" w:rsidP="00CA5CC3">
      <w:pPr>
        <w:pStyle w:val="Default"/>
        <w:numPr>
          <w:ilvl w:val="2"/>
          <w:numId w:val="9"/>
        </w:numPr>
        <w:rPr>
          <w:b/>
          <w:i/>
          <w:sz w:val="22"/>
          <w:szCs w:val="22"/>
        </w:rPr>
      </w:pPr>
      <w:r w:rsidRPr="00CA5CC3">
        <w:rPr>
          <w:sz w:val="22"/>
          <w:szCs w:val="22"/>
        </w:rPr>
        <w:t xml:space="preserve">For the </w:t>
      </w:r>
      <w:proofErr w:type="spellStart"/>
      <w:r w:rsidRPr="00CA5CC3">
        <w:rPr>
          <w:sz w:val="22"/>
          <w:szCs w:val="22"/>
        </w:rPr>
        <w:t>transvaginal</w:t>
      </w:r>
      <w:proofErr w:type="spellEnd"/>
      <w:r w:rsidRPr="00CA5CC3">
        <w:rPr>
          <w:sz w:val="22"/>
          <w:szCs w:val="22"/>
        </w:rPr>
        <w:t xml:space="preserve"> examination, optimal imaging is achieved with an empty bladder. Two possible patient positions will facilitate </w:t>
      </w:r>
      <w:proofErr w:type="spellStart"/>
      <w:r w:rsidRPr="00CA5CC3">
        <w:rPr>
          <w:sz w:val="22"/>
          <w:szCs w:val="22"/>
        </w:rPr>
        <w:t>endovaginal</w:t>
      </w:r>
      <w:proofErr w:type="spellEnd"/>
      <w:r w:rsidRPr="00CA5CC3">
        <w:rPr>
          <w:sz w:val="22"/>
          <w:szCs w:val="22"/>
        </w:rPr>
        <w:t xml:space="preserve"> scanning. In the first, the patient is supine on a stretcher or bed with her legs flexed. Folded sheets or pads are placed under her buttocks to elevate her pelvis above the examination table to allow room for transducer movement. Alternatively, the patient may be scanned on a pelvic examination table with her feet in stirrups. The probe may be placed in the vagina by the patient or the examiner. The uterus is examined entirely in two planes. When in the sagittal plane, the examiner sweeps the transducer laterally to each side to visualize the uterus in its entirety, because it is often deviated to one side. The transducer is then rotated 90 degrees counterclockwise to obtain a coronal view. The transducer can then be angled anteriorly, posteriorly, and to each side to obtain a full assessment of the uterus. After the sagittal and coronal planes of the uterus have been fully interrogated, other structures in the pelvis can be visualized, such as the cul-de-sac, fallopian tubes, and ovaries. The cul-de-sac is posterior to the uterus and the ovaries are located lateral to the uterus and usually lie anterior to the internal iliac veins and medial to the external iliac vessels.</w:t>
      </w:r>
    </w:p>
    <w:p w14:paraId="755D9816" w14:textId="77777777" w:rsidR="005154DC" w:rsidRPr="005154DC" w:rsidRDefault="005154DC" w:rsidP="008228E5">
      <w:pPr>
        <w:pStyle w:val="Default"/>
        <w:rPr>
          <w:b/>
          <w:sz w:val="22"/>
          <w:szCs w:val="22"/>
          <w:u w:val="single"/>
        </w:rPr>
      </w:pPr>
    </w:p>
    <w:p w14:paraId="4CA74920" w14:textId="38329D7F" w:rsidR="005154DC" w:rsidRPr="009C3CC0" w:rsidRDefault="009C3CC0" w:rsidP="005154DC">
      <w:pPr>
        <w:pStyle w:val="Default"/>
        <w:rPr>
          <w:b/>
          <w:sz w:val="22"/>
          <w:szCs w:val="22"/>
        </w:rPr>
      </w:pPr>
      <w:proofErr w:type="spellStart"/>
      <w:r w:rsidRPr="009C3CC0">
        <w:rPr>
          <w:b/>
          <w:sz w:val="22"/>
          <w:szCs w:val="22"/>
        </w:rPr>
        <w:t>Transvaginal</w:t>
      </w:r>
      <w:proofErr w:type="spellEnd"/>
      <w:r w:rsidRPr="009C3CC0">
        <w:rPr>
          <w:b/>
          <w:sz w:val="22"/>
          <w:szCs w:val="22"/>
        </w:rPr>
        <w:t xml:space="preserve"> Sagittal Empty Uterus</w:t>
      </w:r>
    </w:p>
    <w:p w14:paraId="0124721E" w14:textId="6E3A9C39" w:rsidR="009C3CC0" w:rsidRDefault="004956FE" w:rsidP="005154DC">
      <w:pPr>
        <w:pStyle w:val="Default"/>
        <w:rPr>
          <w:sz w:val="22"/>
          <w:szCs w:val="22"/>
        </w:rPr>
      </w:pPr>
      <w:r>
        <w:rPr>
          <w:noProof/>
          <w:sz w:val="22"/>
          <w:szCs w:val="22"/>
        </w:rPr>
        <w:drawing>
          <wp:inline distT="0" distB="0" distL="0" distR="0" wp14:anchorId="519ED347" wp14:editId="35B015C3">
            <wp:extent cx="5486400" cy="3886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Sag Ut.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3886835"/>
                    </a:xfrm>
                    <a:prstGeom prst="rect">
                      <a:avLst/>
                    </a:prstGeom>
                  </pic:spPr>
                </pic:pic>
              </a:graphicData>
            </a:graphic>
          </wp:inline>
        </w:drawing>
      </w:r>
    </w:p>
    <w:p w14:paraId="0D6C1CC3" w14:textId="77777777" w:rsidR="009C3CC0" w:rsidRDefault="009C3CC0" w:rsidP="009C3CC0">
      <w:pPr>
        <w:pStyle w:val="Default"/>
        <w:rPr>
          <w:b/>
          <w:sz w:val="22"/>
          <w:szCs w:val="22"/>
        </w:rPr>
      </w:pPr>
    </w:p>
    <w:p w14:paraId="07983010" w14:textId="77777777" w:rsidR="009C3CC0" w:rsidRDefault="009C3CC0" w:rsidP="009C3CC0">
      <w:pPr>
        <w:pStyle w:val="Default"/>
        <w:rPr>
          <w:b/>
          <w:sz w:val="22"/>
          <w:szCs w:val="22"/>
        </w:rPr>
      </w:pPr>
    </w:p>
    <w:p w14:paraId="74788820" w14:textId="77777777" w:rsidR="009C3CC0" w:rsidRDefault="009C3CC0" w:rsidP="009C3CC0">
      <w:pPr>
        <w:pStyle w:val="Default"/>
        <w:rPr>
          <w:b/>
          <w:sz w:val="22"/>
          <w:szCs w:val="22"/>
        </w:rPr>
      </w:pPr>
    </w:p>
    <w:p w14:paraId="4F0B1F8F" w14:textId="77777777" w:rsidR="009C3CC0" w:rsidRDefault="009C3CC0" w:rsidP="009C3CC0">
      <w:pPr>
        <w:pStyle w:val="Default"/>
        <w:rPr>
          <w:b/>
          <w:sz w:val="22"/>
          <w:szCs w:val="22"/>
        </w:rPr>
      </w:pPr>
    </w:p>
    <w:p w14:paraId="78C690C8" w14:textId="77777777" w:rsidR="009C3CC0" w:rsidRDefault="009C3CC0" w:rsidP="009C3CC0">
      <w:pPr>
        <w:pStyle w:val="Default"/>
        <w:rPr>
          <w:b/>
          <w:sz w:val="22"/>
          <w:szCs w:val="22"/>
        </w:rPr>
      </w:pPr>
    </w:p>
    <w:p w14:paraId="53125C23" w14:textId="0BF9E8FE" w:rsidR="009C3CC0" w:rsidRPr="009C3CC0" w:rsidRDefault="009C3CC0" w:rsidP="009C3CC0">
      <w:pPr>
        <w:pStyle w:val="Default"/>
        <w:rPr>
          <w:b/>
          <w:sz w:val="22"/>
          <w:szCs w:val="22"/>
        </w:rPr>
      </w:pPr>
      <w:proofErr w:type="spellStart"/>
      <w:r w:rsidRPr="009C3CC0">
        <w:rPr>
          <w:b/>
          <w:sz w:val="22"/>
          <w:szCs w:val="22"/>
        </w:rPr>
        <w:t>Transvaginal</w:t>
      </w:r>
      <w:proofErr w:type="spellEnd"/>
      <w:r w:rsidRPr="009C3CC0">
        <w:rPr>
          <w:b/>
          <w:sz w:val="22"/>
          <w:szCs w:val="22"/>
        </w:rPr>
        <w:t xml:space="preserve"> Coronal Empty Uterus</w:t>
      </w:r>
    </w:p>
    <w:p w14:paraId="3F3FB6D4" w14:textId="12DF75E7" w:rsidR="004956FE" w:rsidRDefault="004956FE" w:rsidP="005154DC">
      <w:pPr>
        <w:pStyle w:val="Default"/>
        <w:rPr>
          <w:sz w:val="22"/>
          <w:szCs w:val="22"/>
        </w:rPr>
      </w:pPr>
      <w:r>
        <w:rPr>
          <w:noProof/>
          <w:sz w:val="22"/>
          <w:szCs w:val="22"/>
        </w:rPr>
        <w:drawing>
          <wp:inline distT="0" distB="0" distL="0" distR="0" wp14:anchorId="21BAD684" wp14:editId="62540F29">
            <wp:extent cx="5486400" cy="3889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Coronal Ut.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3889375"/>
                    </a:xfrm>
                    <a:prstGeom prst="rect">
                      <a:avLst/>
                    </a:prstGeom>
                  </pic:spPr>
                </pic:pic>
              </a:graphicData>
            </a:graphic>
          </wp:inline>
        </w:drawing>
      </w:r>
    </w:p>
    <w:p w14:paraId="01EEE1A5" w14:textId="77777777" w:rsidR="005154DC" w:rsidRDefault="005154DC" w:rsidP="005154DC">
      <w:pPr>
        <w:pStyle w:val="Default"/>
        <w:rPr>
          <w:b/>
          <w:i/>
          <w:sz w:val="22"/>
          <w:szCs w:val="22"/>
        </w:rPr>
      </w:pPr>
    </w:p>
    <w:p w14:paraId="74AD2EB5" w14:textId="32D89196" w:rsidR="009C3CC0" w:rsidRDefault="009C3CC0" w:rsidP="005154DC">
      <w:pPr>
        <w:pStyle w:val="Default"/>
        <w:rPr>
          <w:b/>
          <w:sz w:val="22"/>
          <w:szCs w:val="22"/>
        </w:rPr>
      </w:pPr>
      <w:proofErr w:type="spellStart"/>
      <w:r>
        <w:rPr>
          <w:b/>
          <w:sz w:val="22"/>
          <w:szCs w:val="22"/>
        </w:rPr>
        <w:t>Transvaginal</w:t>
      </w:r>
      <w:proofErr w:type="spellEnd"/>
      <w:r>
        <w:rPr>
          <w:b/>
          <w:sz w:val="22"/>
          <w:szCs w:val="22"/>
        </w:rPr>
        <w:t xml:space="preserve"> Sagittal Early IUP (Gestational Sac and Yolk Sac)</w:t>
      </w:r>
    </w:p>
    <w:p w14:paraId="2996088C" w14:textId="187F9840" w:rsidR="009C3CC0" w:rsidRDefault="00B1462E" w:rsidP="005154DC">
      <w:pPr>
        <w:pStyle w:val="Default"/>
        <w:rPr>
          <w:b/>
          <w:sz w:val="22"/>
          <w:szCs w:val="22"/>
        </w:rPr>
      </w:pPr>
      <w:r>
        <w:rPr>
          <w:b/>
          <w:noProof/>
          <w:sz w:val="22"/>
          <w:szCs w:val="22"/>
        </w:rPr>
        <w:drawing>
          <wp:inline distT="0" distB="0" distL="0" distR="0" wp14:anchorId="7200929C" wp14:editId="35D433E2">
            <wp:extent cx="5486400" cy="3841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IUP Sag.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3841115"/>
                    </a:xfrm>
                    <a:prstGeom prst="rect">
                      <a:avLst/>
                    </a:prstGeom>
                  </pic:spPr>
                </pic:pic>
              </a:graphicData>
            </a:graphic>
          </wp:inline>
        </w:drawing>
      </w:r>
    </w:p>
    <w:p w14:paraId="3955E4C9" w14:textId="77777777" w:rsidR="009C3CC0" w:rsidRDefault="009C3CC0" w:rsidP="005154DC">
      <w:pPr>
        <w:pStyle w:val="Default"/>
        <w:rPr>
          <w:b/>
          <w:sz w:val="22"/>
          <w:szCs w:val="22"/>
        </w:rPr>
      </w:pPr>
    </w:p>
    <w:p w14:paraId="2F36BCD3" w14:textId="77777777" w:rsidR="009C3CC0" w:rsidRDefault="009C3CC0" w:rsidP="005154DC">
      <w:pPr>
        <w:pStyle w:val="Default"/>
        <w:rPr>
          <w:b/>
          <w:sz w:val="22"/>
          <w:szCs w:val="22"/>
        </w:rPr>
      </w:pPr>
    </w:p>
    <w:p w14:paraId="79D41080" w14:textId="65953EC5" w:rsidR="009C3CC0" w:rsidRDefault="009C3CC0" w:rsidP="009C3CC0">
      <w:pPr>
        <w:pStyle w:val="Default"/>
        <w:rPr>
          <w:b/>
          <w:sz w:val="22"/>
          <w:szCs w:val="22"/>
        </w:rPr>
      </w:pPr>
      <w:proofErr w:type="spellStart"/>
      <w:r>
        <w:rPr>
          <w:b/>
          <w:sz w:val="22"/>
          <w:szCs w:val="22"/>
        </w:rPr>
        <w:t>Transvaginal</w:t>
      </w:r>
      <w:proofErr w:type="spellEnd"/>
      <w:r>
        <w:rPr>
          <w:b/>
          <w:sz w:val="22"/>
          <w:szCs w:val="22"/>
        </w:rPr>
        <w:t xml:space="preserve"> Coronal Early IUP (Gestational Sac and Yolk Sac)</w:t>
      </w:r>
    </w:p>
    <w:p w14:paraId="439D639F" w14:textId="77777777" w:rsidR="003757EA" w:rsidRDefault="00B1462E">
      <w:pPr>
        <w:rPr>
          <w:b/>
          <w:sz w:val="22"/>
          <w:szCs w:val="22"/>
          <w:u w:val="single"/>
        </w:rPr>
      </w:pPr>
      <w:r>
        <w:rPr>
          <w:b/>
          <w:noProof/>
          <w:sz w:val="22"/>
          <w:szCs w:val="22"/>
          <w:u w:val="single"/>
        </w:rPr>
        <w:drawing>
          <wp:inline distT="0" distB="0" distL="0" distR="0" wp14:anchorId="57899BC5" wp14:editId="3D1A062D">
            <wp:extent cx="5486400" cy="3863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IUP Cor.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3863975"/>
                    </a:xfrm>
                    <a:prstGeom prst="rect">
                      <a:avLst/>
                    </a:prstGeom>
                  </pic:spPr>
                </pic:pic>
              </a:graphicData>
            </a:graphic>
          </wp:inline>
        </w:drawing>
      </w:r>
    </w:p>
    <w:p w14:paraId="0CEE6F38" w14:textId="77777777" w:rsidR="003757EA" w:rsidRDefault="003757EA">
      <w:pPr>
        <w:rPr>
          <w:b/>
          <w:sz w:val="22"/>
          <w:szCs w:val="22"/>
          <w:u w:val="single"/>
        </w:rPr>
      </w:pPr>
    </w:p>
    <w:p w14:paraId="322D680C" w14:textId="77777777" w:rsidR="003757EA" w:rsidRDefault="003757EA">
      <w:pPr>
        <w:rPr>
          <w:b/>
          <w:sz w:val="22"/>
          <w:szCs w:val="22"/>
          <w:u w:val="single"/>
        </w:rPr>
      </w:pPr>
    </w:p>
    <w:p w14:paraId="12FD70C0" w14:textId="77777777" w:rsidR="003757EA" w:rsidRDefault="003757EA">
      <w:pPr>
        <w:rPr>
          <w:b/>
          <w:sz w:val="22"/>
          <w:szCs w:val="22"/>
          <w:u w:val="single"/>
        </w:rPr>
      </w:pPr>
    </w:p>
    <w:p w14:paraId="542AAD1B" w14:textId="77777777" w:rsidR="007A16C0" w:rsidRDefault="007A16C0">
      <w:pPr>
        <w:rPr>
          <w:b/>
          <w:sz w:val="22"/>
          <w:szCs w:val="22"/>
          <w:u w:val="single"/>
        </w:rPr>
      </w:pPr>
      <w:r>
        <w:rPr>
          <w:b/>
          <w:sz w:val="22"/>
          <w:szCs w:val="22"/>
          <w:u w:val="single"/>
        </w:rPr>
        <w:br w:type="page"/>
      </w:r>
    </w:p>
    <w:p w14:paraId="717D3828" w14:textId="643B5B4E" w:rsidR="007A16C0" w:rsidRDefault="003757EA">
      <w:pPr>
        <w:rPr>
          <w:sz w:val="22"/>
          <w:szCs w:val="22"/>
        </w:rPr>
      </w:pPr>
      <w:r>
        <w:rPr>
          <w:b/>
          <w:sz w:val="22"/>
          <w:szCs w:val="22"/>
          <w:u w:val="single"/>
        </w:rPr>
        <w:t>Intrauterine Pregnancy:</w:t>
      </w:r>
      <w:r>
        <w:rPr>
          <w:sz w:val="22"/>
          <w:szCs w:val="22"/>
        </w:rPr>
        <w:t xml:space="preserve"> Gestational Sac with yolk sac visible. Gestational Sac should be </w:t>
      </w:r>
      <w:r w:rsidR="007A16C0">
        <w:rPr>
          <w:sz w:val="22"/>
          <w:szCs w:val="22"/>
        </w:rPr>
        <w:t>completely</w:t>
      </w:r>
      <w:r>
        <w:rPr>
          <w:sz w:val="22"/>
          <w:szCs w:val="22"/>
        </w:rPr>
        <w:t xml:space="preserve"> surrounded by </w:t>
      </w:r>
      <w:r w:rsidR="007A16C0">
        <w:rPr>
          <w:sz w:val="22"/>
          <w:szCs w:val="22"/>
        </w:rPr>
        <w:t xml:space="preserve">a minimum of 5mm of </w:t>
      </w:r>
      <w:r>
        <w:rPr>
          <w:sz w:val="22"/>
          <w:szCs w:val="22"/>
        </w:rPr>
        <w:t>myometrium</w:t>
      </w:r>
      <w:r w:rsidR="007A16C0">
        <w:rPr>
          <w:sz w:val="22"/>
          <w:szCs w:val="22"/>
        </w:rPr>
        <w:t>.</w:t>
      </w:r>
    </w:p>
    <w:p w14:paraId="142ACCFC" w14:textId="77777777" w:rsidR="007A16C0" w:rsidRDefault="007A16C0">
      <w:pPr>
        <w:rPr>
          <w:sz w:val="22"/>
          <w:szCs w:val="22"/>
        </w:rPr>
      </w:pPr>
    </w:p>
    <w:p w14:paraId="0C0FB76B" w14:textId="16F17C40" w:rsidR="007A16C0" w:rsidRDefault="007A16C0">
      <w:pPr>
        <w:rPr>
          <w:b/>
          <w:sz w:val="22"/>
          <w:szCs w:val="22"/>
          <w:u w:val="single"/>
        </w:rPr>
      </w:pPr>
      <w:r>
        <w:rPr>
          <w:b/>
          <w:noProof/>
          <w:sz w:val="22"/>
          <w:szCs w:val="22"/>
          <w:u w:val="single"/>
        </w:rPr>
        <w:drawing>
          <wp:inline distT="0" distB="0" distL="0" distR="0" wp14:anchorId="69085339" wp14:editId="104C8FF5">
            <wp:extent cx="5486400" cy="4055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P.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4055745"/>
                    </a:xfrm>
                    <a:prstGeom prst="rect">
                      <a:avLst/>
                    </a:prstGeom>
                  </pic:spPr>
                </pic:pic>
              </a:graphicData>
            </a:graphic>
          </wp:inline>
        </w:drawing>
      </w:r>
    </w:p>
    <w:p w14:paraId="51FC3F97" w14:textId="77777777" w:rsidR="007A16C0" w:rsidRDefault="007A16C0">
      <w:pPr>
        <w:rPr>
          <w:b/>
          <w:sz w:val="22"/>
          <w:szCs w:val="22"/>
          <w:u w:val="single"/>
        </w:rPr>
      </w:pPr>
      <w:r>
        <w:rPr>
          <w:b/>
          <w:sz w:val="22"/>
          <w:szCs w:val="22"/>
          <w:u w:val="single"/>
        </w:rPr>
        <w:t>Gestational Sac:</w:t>
      </w:r>
    </w:p>
    <w:p w14:paraId="63A14FE8" w14:textId="14270F6E" w:rsidR="00DA6DEE" w:rsidRPr="007A16C0" w:rsidRDefault="007A16C0" w:rsidP="00D53996">
      <w:pPr>
        <w:rPr>
          <w:rFonts w:ascii="Times New Roman" w:hAnsi="Times New Roman" w:cs="Times New Roman"/>
          <w:b/>
          <w:color w:val="000000"/>
          <w:sz w:val="22"/>
          <w:szCs w:val="22"/>
          <w:u w:val="single"/>
        </w:rPr>
      </w:pPr>
      <w:r>
        <w:rPr>
          <w:b/>
          <w:noProof/>
          <w:sz w:val="22"/>
          <w:szCs w:val="22"/>
          <w:u w:val="single"/>
        </w:rPr>
        <w:drawing>
          <wp:inline distT="0" distB="0" distL="0" distR="0" wp14:anchorId="523ED7F2" wp14:editId="2A9450EE">
            <wp:extent cx="54864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 Sac FEEDS.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bookmarkStart w:id="0" w:name="_GoBack"/>
      <w:bookmarkEnd w:id="0"/>
    </w:p>
    <w:sectPr w:rsidR="00DA6DEE" w:rsidRPr="007A16C0" w:rsidSect="000C01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1B68"/>
    <w:multiLevelType w:val="hybridMultilevel"/>
    <w:tmpl w:val="DFDCA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24FAA"/>
    <w:multiLevelType w:val="hybridMultilevel"/>
    <w:tmpl w:val="3D0206F2"/>
    <w:lvl w:ilvl="0" w:tplc="57689366">
      <w:start w:val="1"/>
      <w:numFmt w:val="lowerLetter"/>
      <w:lvlText w:val="%1."/>
      <w:lvlJc w:val="right"/>
      <w:pPr>
        <w:ind w:left="2160" w:hanging="18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673653"/>
    <w:multiLevelType w:val="hybridMultilevel"/>
    <w:tmpl w:val="23B433A6"/>
    <w:lvl w:ilvl="0" w:tplc="0409000F">
      <w:start w:val="1"/>
      <w:numFmt w:val="decimal"/>
      <w:lvlText w:val="%1."/>
      <w:lvlJc w:val="left"/>
      <w:pPr>
        <w:ind w:left="720" w:hanging="360"/>
      </w:pPr>
    </w:lvl>
    <w:lvl w:ilvl="1" w:tplc="9266B812">
      <w:start w:val="1"/>
      <w:numFmt w:val="lowerLetter"/>
      <w:lvlText w:val="%2."/>
      <w:lvlJc w:val="left"/>
      <w:pPr>
        <w:ind w:left="1440" w:hanging="360"/>
      </w:pPr>
      <w:rPr>
        <w:rFonts w:hint="default"/>
        <w:b w:val="0"/>
      </w:rPr>
    </w:lvl>
    <w:lvl w:ilvl="2" w:tplc="AEB4BF2A">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254E3"/>
    <w:multiLevelType w:val="hybridMultilevel"/>
    <w:tmpl w:val="C0E6AE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301B6"/>
    <w:multiLevelType w:val="hybridMultilevel"/>
    <w:tmpl w:val="A56474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3C7914"/>
    <w:multiLevelType w:val="hybridMultilevel"/>
    <w:tmpl w:val="DFDCA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452F0"/>
    <w:multiLevelType w:val="hybridMultilevel"/>
    <w:tmpl w:val="FEF24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D12B52"/>
    <w:multiLevelType w:val="hybridMultilevel"/>
    <w:tmpl w:val="47AE2F12"/>
    <w:lvl w:ilvl="0" w:tplc="0409000F">
      <w:start w:val="1"/>
      <w:numFmt w:val="decimal"/>
      <w:lvlText w:val="%1."/>
      <w:lvlJc w:val="left"/>
      <w:pPr>
        <w:ind w:left="720" w:hanging="360"/>
      </w:pPr>
    </w:lvl>
    <w:lvl w:ilvl="1" w:tplc="0A7C95E6">
      <w:start w:val="3"/>
      <w:numFmt w:val="lowerLetter"/>
      <w:lvlText w:val="%2."/>
      <w:lvlJc w:val="left"/>
      <w:pPr>
        <w:ind w:left="1440" w:hanging="360"/>
      </w:pPr>
      <w:rPr>
        <w:rFonts w:hint="default"/>
        <w:b w:val="0"/>
        <w:i w:val="0"/>
      </w:rPr>
    </w:lvl>
    <w:lvl w:ilvl="2" w:tplc="46E670DE">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9F2DDA"/>
    <w:multiLevelType w:val="hybridMultilevel"/>
    <w:tmpl w:val="37D06E7C"/>
    <w:lvl w:ilvl="0" w:tplc="FE84C94E">
      <w:start w:val="1"/>
      <w:numFmt w:val="lowerLetter"/>
      <w:lvlText w:val="%1."/>
      <w:lvlJc w:val="righ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E5533BE"/>
    <w:multiLevelType w:val="hybridMultilevel"/>
    <w:tmpl w:val="9D78A6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5BB0872"/>
    <w:multiLevelType w:val="hybridMultilevel"/>
    <w:tmpl w:val="7A0EFCB2"/>
    <w:lvl w:ilvl="0" w:tplc="02EA371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8E1144"/>
    <w:multiLevelType w:val="hybridMultilevel"/>
    <w:tmpl w:val="076294A0"/>
    <w:lvl w:ilvl="0" w:tplc="04090019">
      <w:start w:val="1"/>
      <w:numFmt w:val="lowerLetter"/>
      <w:lvlText w:val="%1."/>
      <w:lvlJc w:val="left"/>
      <w:pPr>
        <w:ind w:left="720" w:hanging="360"/>
      </w:pPr>
      <w:rPr>
        <w:rFonts w:hint="default"/>
      </w:rPr>
    </w:lvl>
    <w:lvl w:ilvl="1" w:tplc="CF6CEB5C">
      <w:start w:val="1"/>
      <w:numFmt w:val="lowerRoman"/>
      <w:lvlText w:val="%2."/>
      <w:lvlJc w:val="left"/>
      <w:pPr>
        <w:ind w:left="1800" w:hanging="720"/>
      </w:pPr>
      <w:rPr>
        <w:rFonts w:hint="default"/>
      </w:rPr>
    </w:lvl>
    <w:lvl w:ilvl="2" w:tplc="3EEC315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0F1EBC"/>
    <w:multiLevelType w:val="hybridMultilevel"/>
    <w:tmpl w:val="A56EE6B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b w:val="0"/>
        <w:i w:val="0"/>
      </w:rPr>
    </w:lvl>
    <w:lvl w:ilvl="2" w:tplc="46E670DE">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8363ED"/>
    <w:multiLevelType w:val="hybridMultilevel"/>
    <w:tmpl w:val="7BD2BB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EB9441E"/>
    <w:multiLevelType w:val="hybridMultilevel"/>
    <w:tmpl w:val="C8A2730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210770B"/>
    <w:multiLevelType w:val="hybridMultilevel"/>
    <w:tmpl w:val="5FF2380E"/>
    <w:lvl w:ilvl="0" w:tplc="0409000F">
      <w:start w:val="1"/>
      <w:numFmt w:val="decimal"/>
      <w:lvlText w:val="%1."/>
      <w:lvlJc w:val="left"/>
      <w:pPr>
        <w:ind w:left="720" w:hanging="360"/>
      </w:pPr>
    </w:lvl>
    <w:lvl w:ilvl="1" w:tplc="54BAEA4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EA25C0"/>
    <w:multiLevelType w:val="hybridMultilevel"/>
    <w:tmpl w:val="F516F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2814360"/>
    <w:multiLevelType w:val="hybridMultilevel"/>
    <w:tmpl w:val="EF6CC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16598F"/>
    <w:multiLevelType w:val="hybridMultilevel"/>
    <w:tmpl w:val="B352C51E"/>
    <w:lvl w:ilvl="0" w:tplc="04090019">
      <w:start w:val="1"/>
      <w:numFmt w:val="lowerLetter"/>
      <w:lvlText w:val="%1."/>
      <w:lvlJc w:val="left"/>
      <w:pPr>
        <w:ind w:left="720" w:hanging="360"/>
      </w:pPr>
    </w:lvl>
    <w:lvl w:ilvl="1" w:tplc="B132762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5"/>
  </w:num>
  <w:num w:numId="5">
    <w:abstractNumId w:val="7"/>
  </w:num>
  <w:num w:numId="6">
    <w:abstractNumId w:val="6"/>
  </w:num>
  <w:num w:numId="7">
    <w:abstractNumId w:val="15"/>
  </w:num>
  <w:num w:numId="8">
    <w:abstractNumId w:val="17"/>
  </w:num>
  <w:num w:numId="9">
    <w:abstractNumId w:val="2"/>
  </w:num>
  <w:num w:numId="10">
    <w:abstractNumId w:val="12"/>
  </w:num>
  <w:num w:numId="11">
    <w:abstractNumId w:val="13"/>
  </w:num>
  <w:num w:numId="12">
    <w:abstractNumId w:val="10"/>
  </w:num>
  <w:num w:numId="13">
    <w:abstractNumId w:val="18"/>
  </w:num>
  <w:num w:numId="14">
    <w:abstractNumId w:val="9"/>
  </w:num>
  <w:num w:numId="15">
    <w:abstractNumId w:val="14"/>
  </w:num>
  <w:num w:numId="16">
    <w:abstractNumId w:val="3"/>
  </w:num>
  <w:num w:numId="17">
    <w:abstractNumId w:val="16"/>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DEE"/>
    <w:rsid w:val="00015DC9"/>
    <w:rsid w:val="00031664"/>
    <w:rsid w:val="0009225F"/>
    <w:rsid w:val="000C0116"/>
    <w:rsid w:val="001357AA"/>
    <w:rsid w:val="00160F15"/>
    <w:rsid w:val="00180F9D"/>
    <w:rsid w:val="001E2566"/>
    <w:rsid w:val="00204569"/>
    <w:rsid w:val="0030153F"/>
    <w:rsid w:val="003757EA"/>
    <w:rsid w:val="003E0A60"/>
    <w:rsid w:val="00411421"/>
    <w:rsid w:val="0042737F"/>
    <w:rsid w:val="004956FE"/>
    <w:rsid w:val="005154DC"/>
    <w:rsid w:val="00547D28"/>
    <w:rsid w:val="00567862"/>
    <w:rsid w:val="00583C22"/>
    <w:rsid w:val="005B3D55"/>
    <w:rsid w:val="005F15C6"/>
    <w:rsid w:val="006727FE"/>
    <w:rsid w:val="006D648B"/>
    <w:rsid w:val="006F19C2"/>
    <w:rsid w:val="006F69CD"/>
    <w:rsid w:val="00707DF0"/>
    <w:rsid w:val="007A16C0"/>
    <w:rsid w:val="007D2A40"/>
    <w:rsid w:val="007F2B8C"/>
    <w:rsid w:val="008228E5"/>
    <w:rsid w:val="0082374B"/>
    <w:rsid w:val="00875AF7"/>
    <w:rsid w:val="008849F1"/>
    <w:rsid w:val="008A7A27"/>
    <w:rsid w:val="009B4188"/>
    <w:rsid w:val="009C3CC0"/>
    <w:rsid w:val="009F125E"/>
    <w:rsid w:val="00A17C81"/>
    <w:rsid w:val="00A464FE"/>
    <w:rsid w:val="00A66893"/>
    <w:rsid w:val="00A71EE4"/>
    <w:rsid w:val="00A94F05"/>
    <w:rsid w:val="00AF7700"/>
    <w:rsid w:val="00B01194"/>
    <w:rsid w:val="00B13AF3"/>
    <w:rsid w:val="00B1462E"/>
    <w:rsid w:val="00C319EB"/>
    <w:rsid w:val="00C728A7"/>
    <w:rsid w:val="00CA5CC3"/>
    <w:rsid w:val="00CA7A9C"/>
    <w:rsid w:val="00D53996"/>
    <w:rsid w:val="00D8184D"/>
    <w:rsid w:val="00DA6DEE"/>
    <w:rsid w:val="00DD7D27"/>
    <w:rsid w:val="00E13831"/>
    <w:rsid w:val="00E3251A"/>
    <w:rsid w:val="00E642A0"/>
    <w:rsid w:val="00F71BA6"/>
    <w:rsid w:val="00F90357"/>
    <w:rsid w:val="00FE3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050A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DE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F2B8C"/>
    <w:pPr>
      <w:ind w:left="720"/>
      <w:contextualSpacing/>
    </w:pPr>
  </w:style>
  <w:style w:type="paragraph" w:styleId="BalloonText">
    <w:name w:val="Balloon Text"/>
    <w:basedOn w:val="Normal"/>
    <w:link w:val="BalloonTextChar"/>
    <w:uiPriority w:val="99"/>
    <w:semiHidden/>
    <w:unhideWhenUsed/>
    <w:rsid w:val="004956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6F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DE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F2B8C"/>
    <w:pPr>
      <w:ind w:left="720"/>
      <w:contextualSpacing/>
    </w:pPr>
  </w:style>
  <w:style w:type="paragraph" w:styleId="BalloonText">
    <w:name w:val="Balloon Text"/>
    <w:basedOn w:val="Normal"/>
    <w:link w:val="BalloonTextChar"/>
    <w:uiPriority w:val="99"/>
    <w:semiHidden/>
    <w:unhideWhenUsed/>
    <w:rsid w:val="004956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56F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tiff"/><Relationship Id="rId12" Type="http://schemas.openxmlformats.org/officeDocument/2006/relationships/image" Target="media/image7.tiff"/><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image" Target="media/image4.tiff"/><Relationship Id="rId10"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850</Words>
  <Characters>4850</Characters>
  <Application>Microsoft Macintosh Word</Application>
  <DocSecurity>0</DocSecurity>
  <Lines>40</Lines>
  <Paragraphs>11</Paragraphs>
  <ScaleCrop>false</ScaleCrop>
  <Company>UCSF</Company>
  <LinksUpToDate>false</LinksUpToDate>
  <CharactersWithSpaces>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Roneesha  Knight</dc:creator>
  <cp:keywords/>
  <dc:description/>
  <cp:lastModifiedBy>Roneesha  Knight</cp:lastModifiedBy>
  <cp:revision>17</cp:revision>
  <dcterms:created xsi:type="dcterms:W3CDTF">2015-11-09T01:59:00Z</dcterms:created>
  <dcterms:modified xsi:type="dcterms:W3CDTF">2015-11-16T17:27:00Z</dcterms:modified>
</cp:coreProperties>
</file>