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1B05B8" w14:textId="77777777" w:rsidR="00875AF7" w:rsidRDefault="00DA6DEE" w:rsidP="00DA6DEE">
      <w:pPr>
        <w:jc w:val="center"/>
        <w:rPr>
          <w:b/>
          <w:i/>
          <w:u w:val="single"/>
        </w:rPr>
      </w:pPr>
      <w:r w:rsidRPr="00DA6DEE">
        <w:rPr>
          <w:b/>
          <w:i/>
          <w:u w:val="single"/>
        </w:rPr>
        <w:t>SFGH Scanning Protocols</w:t>
      </w:r>
    </w:p>
    <w:p w14:paraId="37506A1B" w14:textId="77777777" w:rsidR="00FE34FE" w:rsidRPr="00FE34FE" w:rsidRDefault="00FE34FE" w:rsidP="00FE34FE">
      <w:pPr>
        <w:jc w:val="center"/>
        <w:rPr>
          <w:color w:val="3366FF"/>
          <w:sz w:val="22"/>
          <w:szCs w:val="22"/>
        </w:rPr>
      </w:pPr>
      <w:r w:rsidRPr="00FE34FE">
        <w:rPr>
          <w:sz w:val="22"/>
          <w:szCs w:val="22"/>
        </w:rPr>
        <w:t>(Adapted from the ACEP</w:t>
      </w:r>
      <w:r>
        <w:rPr>
          <w:sz w:val="22"/>
          <w:szCs w:val="22"/>
        </w:rPr>
        <w:t xml:space="preserve"> Ultrasound Imaging Criteria Compendium)</w:t>
      </w:r>
    </w:p>
    <w:p w14:paraId="542C01DD" w14:textId="77777777" w:rsidR="00FE34FE" w:rsidRDefault="00FE34FE" w:rsidP="00DA6DEE">
      <w:pPr>
        <w:jc w:val="center"/>
      </w:pPr>
    </w:p>
    <w:p w14:paraId="04B718F9" w14:textId="77777777" w:rsidR="00DA6DEE" w:rsidRDefault="00DA6DEE" w:rsidP="00DA6DEE">
      <w:pPr>
        <w:jc w:val="center"/>
      </w:pPr>
    </w:p>
    <w:p w14:paraId="7F45B39D" w14:textId="17D2CAAC" w:rsidR="00DA6DEE" w:rsidRPr="00FE34FE" w:rsidRDefault="00EF67E9" w:rsidP="00DA6DEE">
      <w:pPr>
        <w:rPr>
          <w:color w:val="3366FF"/>
          <w:sz w:val="22"/>
          <w:szCs w:val="22"/>
        </w:rPr>
      </w:pPr>
      <w:r>
        <w:rPr>
          <w:b/>
          <w:i/>
          <w:color w:val="3366FF"/>
          <w:sz w:val="48"/>
          <w:szCs w:val="48"/>
        </w:rPr>
        <w:t>FAST Exam</w:t>
      </w:r>
    </w:p>
    <w:p w14:paraId="30088B59" w14:textId="77777777" w:rsidR="00DA6DEE" w:rsidRDefault="00DA6DEE" w:rsidP="00DA6DEE"/>
    <w:p w14:paraId="52D6B2EB" w14:textId="77777777" w:rsidR="00DA6DEE" w:rsidRDefault="00DA6DEE" w:rsidP="00DA6DEE">
      <w:pPr>
        <w:pStyle w:val="Default"/>
      </w:pPr>
    </w:p>
    <w:p w14:paraId="119AB631" w14:textId="77777777" w:rsidR="00DA6DEE" w:rsidRPr="00DA6DEE" w:rsidRDefault="00DA6DEE" w:rsidP="00DA6DEE">
      <w:pPr>
        <w:pStyle w:val="Default"/>
        <w:rPr>
          <w:b/>
          <w:sz w:val="22"/>
          <w:szCs w:val="22"/>
          <w:u w:val="single"/>
        </w:rPr>
      </w:pPr>
      <w:r w:rsidRPr="00DA6DEE">
        <w:rPr>
          <w:b/>
          <w:sz w:val="22"/>
          <w:szCs w:val="22"/>
          <w:u w:val="single"/>
        </w:rPr>
        <w:t xml:space="preserve">Indications </w:t>
      </w:r>
    </w:p>
    <w:p w14:paraId="359B0926" w14:textId="77777777" w:rsidR="00167D23" w:rsidRDefault="00DA6DEE" w:rsidP="00167D23">
      <w:pPr>
        <w:pStyle w:val="Default"/>
        <w:numPr>
          <w:ilvl w:val="0"/>
          <w:numId w:val="6"/>
        </w:numPr>
        <w:rPr>
          <w:b/>
          <w:sz w:val="22"/>
          <w:szCs w:val="22"/>
        </w:rPr>
      </w:pPr>
      <w:r w:rsidRPr="00DA6DEE">
        <w:rPr>
          <w:b/>
          <w:sz w:val="22"/>
          <w:szCs w:val="22"/>
        </w:rPr>
        <w:t xml:space="preserve">Primary </w:t>
      </w:r>
    </w:p>
    <w:p w14:paraId="1B04C50D" w14:textId="17BACB67" w:rsidR="00167D23" w:rsidRPr="00167D23" w:rsidRDefault="00167D23" w:rsidP="00167D23">
      <w:pPr>
        <w:pStyle w:val="Default"/>
        <w:numPr>
          <w:ilvl w:val="1"/>
          <w:numId w:val="6"/>
        </w:numPr>
        <w:rPr>
          <w:b/>
          <w:sz w:val="22"/>
          <w:szCs w:val="22"/>
        </w:rPr>
      </w:pPr>
      <w:r w:rsidRPr="00167D23">
        <w:rPr>
          <w:sz w:val="22"/>
          <w:szCs w:val="22"/>
        </w:rPr>
        <w:t xml:space="preserve">To rapidly evaluate the torso for evidence of traumatic free fluid or pathologic air suggestive of injury in the peritoneal, pericardial, and pleural cavities. </w:t>
      </w:r>
    </w:p>
    <w:p w14:paraId="6FCD43F9" w14:textId="77777777" w:rsidR="0009225F" w:rsidRDefault="00AF7700" w:rsidP="0009225F">
      <w:pPr>
        <w:pStyle w:val="Default"/>
        <w:numPr>
          <w:ilvl w:val="0"/>
          <w:numId w:val="6"/>
        </w:numPr>
        <w:rPr>
          <w:b/>
          <w:sz w:val="22"/>
          <w:szCs w:val="22"/>
        </w:rPr>
      </w:pPr>
      <w:r w:rsidRPr="00DA6DEE">
        <w:rPr>
          <w:b/>
          <w:sz w:val="22"/>
          <w:szCs w:val="22"/>
        </w:rPr>
        <w:t xml:space="preserve"> </w:t>
      </w:r>
      <w:r w:rsidR="007F2B8C">
        <w:rPr>
          <w:b/>
          <w:sz w:val="22"/>
          <w:szCs w:val="22"/>
        </w:rPr>
        <w:t>Extended</w:t>
      </w:r>
      <w:r w:rsidR="00DA6DEE" w:rsidRPr="00DA6DEE">
        <w:rPr>
          <w:b/>
          <w:sz w:val="22"/>
          <w:szCs w:val="22"/>
        </w:rPr>
        <w:t xml:space="preserve"> </w:t>
      </w:r>
    </w:p>
    <w:p w14:paraId="625AB1EF" w14:textId="77777777" w:rsidR="00F538F2" w:rsidRPr="00F538F2" w:rsidRDefault="00F538F2" w:rsidP="00F538F2">
      <w:pPr>
        <w:pStyle w:val="Default"/>
        <w:numPr>
          <w:ilvl w:val="1"/>
          <w:numId w:val="6"/>
        </w:numPr>
        <w:rPr>
          <w:b/>
          <w:sz w:val="22"/>
          <w:szCs w:val="22"/>
        </w:rPr>
      </w:pPr>
      <w:r>
        <w:rPr>
          <w:sz w:val="22"/>
          <w:szCs w:val="22"/>
        </w:rPr>
        <w:t>Solid organ injury</w:t>
      </w:r>
    </w:p>
    <w:p w14:paraId="544CD401" w14:textId="4C690A78" w:rsidR="00F538F2" w:rsidRPr="00F538F2" w:rsidRDefault="00F538F2" w:rsidP="00F538F2">
      <w:pPr>
        <w:pStyle w:val="Default"/>
        <w:numPr>
          <w:ilvl w:val="1"/>
          <w:numId w:val="6"/>
        </w:numPr>
        <w:rPr>
          <w:b/>
          <w:sz w:val="22"/>
          <w:szCs w:val="22"/>
        </w:rPr>
      </w:pPr>
      <w:r w:rsidRPr="00F538F2">
        <w:rPr>
          <w:sz w:val="22"/>
          <w:szCs w:val="22"/>
        </w:rPr>
        <w:t xml:space="preserve">Triage of multiple or mass casualties </w:t>
      </w:r>
    </w:p>
    <w:p w14:paraId="5E9272BE" w14:textId="77777777" w:rsidR="00DA6DEE" w:rsidRDefault="00DA6DEE" w:rsidP="00DA6DEE">
      <w:pPr>
        <w:pStyle w:val="Default"/>
        <w:rPr>
          <w:sz w:val="22"/>
          <w:szCs w:val="22"/>
        </w:rPr>
      </w:pPr>
    </w:p>
    <w:p w14:paraId="3348CA80" w14:textId="77777777" w:rsidR="00DA6DEE" w:rsidRPr="00AF7700" w:rsidRDefault="00DA6DEE" w:rsidP="00AF7700">
      <w:pPr>
        <w:pStyle w:val="Default"/>
        <w:rPr>
          <w:b/>
          <w:sz w:val="22"/>
          <w:szCs w:val="22"/>
          <w:u w:val="single"/>
        </w:rPr>
      </w:pPr>
      <w:r w:rsidRPr="00AF7700">
        <w:rPr>
          <w:b/>
          <w:sz w:val="22"/>
          <w:szCs w:val="22"/>
          <w:u w:val="single"/>
        </w:rPr>
        <w:t xml:space="preserve">Contraindications </w:t>
      </w:r>
    </w:p>
    <w:p w14:paraId="7AFEC853" w14:textId="77777777" w:rsidR="00A7779E" w:rsidRDefault="00A7779E" w:rsidP="00A7779E">
      <w:pPr>
        <w:pStyle w:val="Default"/>
        <w:numPr>
          <w:ilvl w:val="1"/>
          <w:numId w:val="5"/>
        </w:numPr>
        <w:rPr>
          <w:sz w:val="22"/>
          <w:szCs w:val="22"/>
        </w:rPr>
      </w:pPr>
      <w:r w:rsidRPr="00A7779E">
        <w:rPr>
          <w:sz w:val="22"/>
          <w:szCs w:val="22"/>
        </w:rPr>
        <w:t xml:space="preserve">There are no absolute contraindications to trauma EUS. There may be relative contraindications based on specific features of the patient’s clinical situation, </w:t>
      </w:r>
      <w:proofErr w:type="spellStart"/>
      <w:r w:rsidRPr="00A7779E">
        <w:rPr>
          <w:sz w:val="22"/>
          <w:szCs w:val="22"/>
        </w:rPr>
        <w:t>eg</w:t>
      </w:r>
      <w:proofErr w:type="spellEnd"/>
      <w:r w:rsidRPr="00A7779E">
        <w:rPr>
          <w:sz w:val="22"/>
          <w:szCs w:val="22"/>
        </w:rPr>
        <w:t xml:space="preserve">, extensive abdominal or chest wall trauma. </w:t>
      </w:r>
    </w:p>
    <w:p w14:paraId="0A8D646C" w14:textId="2E5565FD" w:rsidR="00DA6DEE" w:rsidRPr="00A7779E" w:rsidRDefault="00A7779E" w:rsidP="00A7779E">
      <w:pPr>
        <w:pStyle w:val="Default"/>
        <w:numPr>
          <w:ilvl w:val="1"/>
          <w:numId w:val="5"/>
        </w:numPr>
        <w:rPr>
          <w:sz w:val="22"/>
          <w:szCs w:val="22"/>
        </w:rPr>
      </w:pPr>
      <w:r w:rsidRPr="00A7779E">
        <w:rPr>
          <w:sz w:val="22"/>
          <w:szCs w:val="22"/>
        </w:rPr>
        <w:t xml:space="preserve">The need for immediate laparotomy is often considered a contraindication to trauma EUS; however, even in this circumstance, EUS evaluation for pericardial </w:t>
      </w:r>
      <w:proofErr w:type="spellStart"/>
      <w:r w:rsidRPr="00A7779E">
        <w:rPr>
          <w:sz w:val="22"/>
          <w:szCs w:val="22"/>
        </w:rPr>
        <w:t>tamponade</w:t>
      </w:r>
      <w:proofErr w:type="spellEnd"/>
      <w:r w:rsidRPr="00A7779E">
        <w:rPr>
          <w:sz w:val="22"/>
          <w:szCs w:val="22"/>
        </w:rPr>
        <w:t xml:space="preserve"> or pneumothorax may be indicated prior to transfer to the operating room. </w:t>
      </w:r>
    </w:p>
    <w:p w14:paraId="6D52477E" w14:textId="77777777" w:rsidR="00DA6DEE" w:rsidRDefault="00DA6DEE" w:rsidP="00DA6DEE">
      <w:pPr>
        <w:pStyle w:val="Default"/>
        <w:rPr>
          <w:sz w:val="22"/>
          <w:szCs w:val="22"/>
        </w:rPr>
      </w:pPr>
    </w:p>
    <w:p w14:paraId="088D98D3" w14:textId="77777777" w:rsidR="00DA6DEE" w:rsidRPr="00AF7700" w:rsidRDefault="00DA6DEE" w:rsidP="00AF7700">
      <w:pPr>
        <w:pStyle w:val="Default"/>
        <w:rPr>
          <w:b/>
          <w:sz w:val="22"/>
          <w:szCs w:val="22"/>
          <w:u w:val="single"/>
        </w:rPr>
      </w:pPr>
      <w:r w:rsidRPr="00AF7700">
        <w:rPr>
          <w:b/>
          <w:sz w:val="22"/>
          <w:szCs w:val="22"/>
          <w:u w:val="single"/>
        </w:rPr>
        <w:t xml:space="preserve">Limitations </w:t>
      </w:r>
    </w:p>
    <w:p w14:paraId="4B396F51" w14:textId="44B0F7E1" w:rsidR="006F1F5D" w:rsidRPr="006F1F5D" w:rsidRDefault="006F1F5D" w:rsidP="006F1F5D">
      <w:pPr>
        <w:pStyle w:val="ListParagraph"/>
        <w:widowControl w:val="0"/>
        <w:numPr>
          <w:ilvl w:val="0"/>
          <w:numId w:val="15"/>
        </w:numPr>
        <w:autoSpaceDE w:val="0"/>
        <w:autoSpaceDN w:val="0"/>
        <w:adjustRightInd w:val="0"/>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Trauma EUS is a single component of the overall and ongoing resuscitation. Since it is a focused examination, EUS does not identify all abnormalities resulting from </w:t>
      </w:r>
      <w:proofErr w:type="spellStart"/>
      <w:r w:rsidRPr="006F1F5D">
        <w:rPr>
          <w:rFonts w:ascii="Times New Roman" w:hAnsi="Times New Roman" w:cs="Times New Roman"/>
          <w:color w:val="000000"/>
          <w:sz w:val="22"/>
          <w:szCs w:val="22"/>
        </w:rPr>
        <w:t>truncal</w:t>
      </w:r>
      <w:proofErr w:type="spellEnd"/>
      <w:r w:rsidRPr="006F1F5D">
        <w:rPr>
          <w:rFonts w:ascii="Times New Roman" w:hAnsi="Times New Roman" w:cs="Times New Roman"/>
          <w:color w:val="000000"/>
          <w:sz w:val="22"/>
          <w:szCs w:val="22"/>
        </w:rPr>
        <w:t xml:space="preserve"> trauma. EUS, like other tests, does not replace clinical judgment and should be interpreted in the context of the entire clinical picture. If the findings of the EUS are equivocal, additional diagnostic testing may be indicated. </w:t>
      </w:r>
    </w:p>
    <w:p w14:paraId="757052BC" w14:textId="125A570F" w:rsidR="006F1F5D" w:rsidRPr="006F1F5D" w:rsidRDefault="006F1F5D" w:rsidP="006F1F5D">
      <w:pPr>
        <w:pStyle w:val="ListParagraph"/>
        <w:widowControl w:val="0"/>
        <w:numPr>
          <w:ilvl w:val="0"/>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EUS in trauma is technically limited by: </w:t>
      </w:r>
    </w:p>
    <w:p w14:paraId="7122EE1B" w14:textId="2ECA8A41" w:rsidR="006F1F5D" w:rsidRPr="006F1F5D" w:rsidRDefault="006F1F5D" w:rsidP="0082326C">
      <w:pPr>
        <w:pStyle w:val="ListParagraph"/>
        <w:widowControl w:val="0"/>
        <w:numPr>
          <w:ilvl w:val="1"/>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Bowel gas </w:t>
      </w:r>
    </w:p>
    <w:p w14:paraId="64156CBB" w14:textId="2B26B51C" w:rsidR="006F1F5D" w:rsidRPr="006F1F5D" w:rsidRDefault="006F1F5D" w:rsidP="0082326C">
      <w:pPr>
        <w:pStyle w:val="ListParagraph"/>
        <w:widowControl w:val="0"/>
        <w:numPr>
          <w:ilvl w:val="1"/>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Obesity </w:t>
      </w:r>
    </w:p>
    <w:p w14:paraId="24F92391" w14:textId="06FEB051" w:rsidR="006F1F5D" w:rsidRPr="006F1F5D" w:rsidRDefault="006F1F5D" w:rsidP="0082326C">
      <w:pPr>
        <w:pStyle w:val="ListParagraph"/>
        <w:widowControl w:val="0"/>
        <w:numPr>
          <w:ilvl w:val="1"/>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Subcutaneous emphysema </w:t>
      </w:r>
    </w:p>
    <w:p w14:paraId="04D63F28" w14:textId="73BECF4A" w:rsidR="006F1F5D" w:rsidRPr="006F1F5D" w:rsidRDefault="006F1F5D" w:rsidP="006F1F5D">
      <w:pPr>
        <w:pStyle w:val="ListParagraph"/>
        <w:widowControl w:val="0"/>
        <w:numPr>
          <w:ilvl w:val="0"/>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Trauma EUS is likely to be less accurate in the following settings: </w:t>
      </w:r>
    </w:p>
    <w:p w14:paraId="2A418DF7" w14:textId="7A234F1A" w:rsidR="006F1F5D" w:rsidRPr="006F1F5D" w:rsidRDefault="006F1F5D" w:rsidP="0082326C">
      <w:pPr>
        <w:pStyle w:val="ListParagraph"/>
        <w:widowControl w:val="0"/>
        <w:numPr>
          <w:ilvl w:val="1"/>
          <w:numId w:val="15"/>
        </w:numPr>
        <w:autoSpaceDE w:val="0"/>
        <w:autoSpaceDN w:val="0"/>
        <w:adjustRightInd w:val="0"/>
        <w:spacing w:after="23"/>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Pediatric patients </w:t>
      </w:r>
    </w:p>
    <w:p w14:paraId="2FF00B8E" w14:textId="379E9726" w:rsidR="006F1F5D" w:rsidRPr="006F1F5D" w:rsidRDefault="006F1F5D" w:rsidP="0082326C">
      <w:pPr>
        <w:pStyle w:val="ListParagraph"/>
        <w:widowControl w:val="0"/>
        <w:numPr>
          <w:ilvl w:val="1"/>
          <w:numId w:val="15"/>
        </w:numPr>
        <w:autoSpaceDE w:val="0"/>
        <w:autoSpaceDN w:val="0"/>
        <w:adjustRightInd w:val="0"/>
        <w:rPr>
          <w:rFonts w:ascii="Times New Roman" w:hAnsi="Times New Roman" w:cs="Times New Roman"/>
          <w:color w:val="000000"/>
          <w:sz w:val="22"/>
          <w:szCs w:val="22"/>
        </w:rPr>
      </w:pPr>
      <w:r w:rsidRPr="006F1F5D">
        <w:rPr>
          <w:rFonts w:ascii="Times New Roman" w:hAnsi="Times New Roman" w:cs="Times New Roman"/>
          <w:color w:val="000000"/>
          <w:sz w:val="22"/>
          <w:szCs w:val="22"/>
        </w:rPr>
        <w:t xml:space="preserve">Patients with other reasons for free fluid such as prior diagnostic peritoneal lavage, ascites, ruptured ovarian cyst, pelvic inflammatory processes </w:t>
      </w:r>
    </w:p>
    <w:p w14:paraId="7190E36E" w14:textId="77777777" w:rsidR="00E642A0" w:rsidRDefault="00E642A0" w:rsidP="00E642A0">
      <w:pPr>
        <w:pStyle w:val="Default"/>
        <w:ind w:left="2160"/>
        <w:rPr>
          <w:sz w:val="22"/>
          <w:szCs w:val="22"/>
        </w:rPr>
      </w:pPr>
    </w:p>
    <w:p w14:paraId="1E47F0E4" w14:textId="1864923D" w:rsidR="00A66893" w:rsidRPr="00D8184D" w:rsidRDefault="00E642A0" w:rsidP="00D8184D">
      <w:pPr>
        <w:pStyle w:val="Default"/>
        <w:rPr>
          <w:b/>
          <w:sz w:val="22"/>
          <w:szCs w:val="22"/>
          <w:u w:val="single"/>
        </w:rPr>
      </w:pPr>
      <w:r w:rsidRPr="00D8184D">
        <w:rPr>
          <w:b/>
          <w:sz w:val="22"/>
          <w:szCs w:val="22"/>
          <w:u w:val="single"/>
        </w:rPr>
        <w:t>Technique</w:t>
      </w:r>
    </w:p>
    <w:p w14:paraId="23A010AE" w14:textId="2A688D58" w:rsidR="00FE17AB" w:rsidRDefault="00583C22" w:rsidP="00FE17AB">
      <w:pPr>
        <w:pStyle w:val="Default"/>
        <w:numPr>
          <w:ilvl w:val="1"/>
          <w:numId w:val="9"/>
        </w:numPr>
        <w:rPr>
          <w:b/>
          <w:sz w:val="22"/>
          <w:szCs w:val="22"/>
        </w:rPr>
      </w:pPr>
      <w:r>
        <w:rPr>
          <w:sz w:val="22"/>
          <w:szCs w:val="22"/>
        </w:rPr>
        <w:t>A Curvilinear</w:t>
      </w:r>
      <w:r w:rsidR="00A66893">
        <w:rPr>
          <w:sz w:val="22"/>
          <w:szCs w:val="22"/>
        </w:rPr>
        <w:t xml:space="preserve"> Probe</w:t>
      </w:r>
      <w:r w:rsidR="0030153F">
        <w:rPr>
          <w:sz w:val="22"/>
          <w:szCs w:val="22"/>
        </w:rPr>
        <w:t xml:space="preserve"> is optimal</w:t>
      </w:r>
      <w:r w:rsidR="001E2566">
        <w:rPr>
          <w:sz w:val="22"/>
          <w:szCs w:val="22"/>
        </w:rPr>
        <w:t>.</w:t>
      </w:r>
      <w:r w:rsidR="0030153F">
        <w:rPr>
          <w:b/>
          <w:sz w:val="22"/>
          <w:szCs w:val="22"/>
        </w:rPr>
        <w:t xml:space="preserve"> </w:t>
      </w:r>
      <w:r w:rsidR="0030153F" w:rsidRPr="0030153F">
        <w:rPr>
          <w:sz w:val="22"/>
          <w:szCs w:val="22"/>
        </w:rPr>
        <w:t xml:space="preserve">A </w:t>
      </w:r>
      <w:r>
        <w:rPr>
          <w:sz w:val="22"/>
          <w:szCs w:val="22"/>
        </w:rPr>
        <w:t>phased array</w:t>
      </w:r>
      <w:r w:rsidR="0030153F" w:rsidRPr="0030153F">
        <w:rPr>
          <w:sz w:val="22"/>
          <w:szCs w:val="22"/>
        </w:rPr>
        <w:t xml:space="preserve"> probe</w:t>
      </w:r>
      <w:r w:rsidR="001E2566">
        <w:rPr>
          <w:sz w:val="22"/>
          <w:szCs w:val="22"/>
        </w:rPr>
        <w:t xml:space="preserve"> or linear probe</w:t>
      </w:r>
      <w:r w:rsidR="0030153F" w:rsidRPr="0030153F">
        <w:rPr>
          <w:sz w:val="22"/>
          <w:szCs w:val="22"/>
        </w:rPr>
        <w:t xml:space="preserve"> may </w:t>
      </w:r>
      <w:r w:rsidR="001E2566">
        <w:rPr>
          <w:sz w:val="22"/>
          <w:szCs w:val="22"/>
        </w:rPr>
        <w:t>provide better resolution in children or smaller adults.</w:t>
      </w:r>
      <w:r w:rsidR="00295205">
        <w:rPr>
          <w:sz w:val="22"/>
          <w:szCs w:val="22"/>
        </w:rPr>
        <w:t xml:space="preserve"> A smaller footprint may facilitate scanning between the ribs. </w:t>
      </w:r>
      <w:r w:rsidR="0030153F">
        <w:rPr>
          <w:sz w:val="22"/>
          <w:szCs w:val="22"/>
        </w:rPr>
        <w:t xml:space="preserve"> </w:t>
      </w:r>
    </w:p>
    <w:p w14:paraId="652B5679" w14:textId="21469132" w:rsidR="0082374B" w:rsidRPr="00FE17AB" w:rsidRDefault="00FE17AB" w:rsidP="00FE17AB">
      <w:pPr>
        <w:pStyle w:val="Default"/>
        <w:numPr>
          <w:ilvl w:val="1"/>
          <w:numId w:val="9"/>
        </w:numPr>
        <w:rPr>
          <w:b/>
          <w:sz w:val="22"/>
          <w:szCs w:val="22"/>
        </w:rPr>
      </w:pPr>
      <w:r w:rsidRPr="00FE17AB">
        <w:rPr>
          <w:sz w:val="22"/>
          <w:szCs w:val="22"/>
          <w:u w:val="single"/>
        </w:rPr>
        <w:t>Overview</w:t>
      </w:r>
      <w:r w:rsidRPr="00FE17AB">
        <w:rPr>
          <w:sz w:val="22"/>
          <w:szCs w:val="22"/>
        </w:rPr>
        <w:t xml:space="preserve">. The trauma EUS exam evaluates 4 general regions or “views” for free fluid in defined potential spaces. The order in which the regions are examined may be determined by clinical factors such as the mechanism of injury or external evidence of trauma. Since scientific investigations have shown that the </w:t>
      </w:r>
      <w:r w:rsidRPr="00FE17AB">
        <w:rPr>
          <w:sz w:val="22"/>
          <w:szCs w:val="22"/>
        </w:rPr>
        <w:lastRenderedPageBreak/>
        <w:t xml:space="preserve">single most likely site for free fluid to be identified is the right upper quadrant, many practitioners start with this view, and then progress in a clockwise rotation through the sub-xiphoid, left upper quadrant, and </w:t>
      </w:r>
      <w:proofErr w:type="spellStart"/>
      <w:r w:rsidRPr="00FE17AB">
        <w:rPr>
          <w:sz w:val="22"/>
          <w:szCs w:val="22"/>
        </w:rPr>
        <w:t>suprapubic</w:t>
      </w:r>
      <w:proofErr w:type="spellEnd"/>
      <w:r w:rsidRPr="00FE17AB">
        <w:rPr>
          <w:sz w:val="22"/>
          <w:szCs w:val="22"/>
        </w:rPr>
        <w:t xml:space="preserve"> views. As with other EUS, the potential spaces being examined should be scanned methodically in real-time through all tissue planes. If possible, they should be evaluated in at least two orthogonal directions. Identification of the potential spaces in a single still image or plane is likely to result in early injuries, or those with small volumes of free fluid, being overlooked. </w:t>
      </w:r>
    </w:p>
    <w:p w14:paraId="72C5E7CF" w14:textId="77777777" w:rsidR="00F90357" w:rsidRDefault="00F90357" w:rsidP="00F90357">
      <w:pPr>
        <w:pStyle w:val="Default"/>
        <w:ind w:left="1440"/>
        <w:rPr>
          <w:b/>
          <w:sz w:val="22"/>
          <w:szCs w:val="22"/>
        </w:rPr>
      </w:pPr>
    </w:p>
    <w:p w14:paraId="5E71EF91" w14:textId="3433C7A2" w:rsidR="00E642A0" w:rsidRPr="00F90357" w:rsidRDefault="00750A5D" w:rsidP="00FE17AB">
      <w:pPr>
        <w:pStyle w:val="Default"/>
        <w:numPr>
          <w:ilvl w:val="0"/>
          <w:numId w:val="21"/>
        </w:numPr>
        <w:rPr>
          <w:b/>
          <w:sz w:val="22"/>
          <w:szCs w:val="22"/>
        </w:rPr>
      </w:pPr>
      <w:r>
        <w:rPr>
          <w:b/>
          <w:i/>
          <w:sz w:val="22"/>
          <w:szCs w:val="22"/>
        </w:rPr>
        <w:t>RUQ</w:t>
      </w:r>
      <w:r w:rsidR="009B4188" w:rsidRPr="00F90357">
        <w:rPr>
          <w:b/>
          <w:i/>
          <w:sz w:val="22"/>
          <w:szCs w:val="22"/>
        </w:rPr>
        <w:t xml:space="preserve"> </w:t>
      </w:r>
      <w:r w:rsidR="00265A83">
        <w:rPr>
          <w:b/>
          <w:i/>
          <w:sz w:val="22"/>
          <w:szCs w:val="22"/>
        </w:rPr>
        <w:t>View</w:t>
      </w:r>
      <w:r w:rsidR="00B70B6B">
        <w:rPr>
          <w:b/>
          <w:i/>
          <w:sz w:val="22"/>
          <w:szCs w:val="22"/>
        </w:rPr>
        <w:t xml:space="preserve"> (aka Morison’s Pouch View or </w:t>
      </w:r>
      <w:proofErr w:type="spellStart"/>
      <w:r w:rsidR="00B70B6B">
        <w:rPr>
          <w:b/>
          <w:i/>
          <w:sz w:val="22"/>
          <w:szCs w:val="22"/>
        </w:rPr>
        <w:t>Perihepatic</w:t>
      </w:r>
      <w:proofErr w:type="spellEnd"/>
      <w:r w:rsidR="00B70B6B">
        <w:rPr>
          <w:b/>
          <w:i/>
          <w:sz w:val="22"/>
          <w:szCs w:val="22"/>
        </w:rPr>
        <w:t xml:space="preserve"> View)</w:t>
      </w:r>
    </w:p>
    <w:p w14:paraId="71315F7D" w14:textId="53D5835C" w:rsidR="00750A5D" w:rsidRDefault="00750A5D" w:rsidP="00080BEB">
      <w:pPr>
        <w:pStyle w:val="Default"/>
        <w:numPr>
          <w:ilvl w:val="2"/>
          <w:numId w:val="5"/>
        </w:numPr>
        <w:rPr>
          <w:sz w:val="22"/>
          <w:szCs w:val="22"/>
        </w:rPr>
      </w:pPr>
      <w:r w:rsidRPr="00B70B6B">
        <w:rPr>
          <w:sz w:val="22"/>
          <w:szCs w:val="22"/>
        </w:rPr>
        <w:t xml:space="preserve">Four potential spaces for the accumulation of free fluid are examined in this region (listed in a </w:t>
      </w:r>
      <w:proofErr w:type="spellStart"/>
      <w:r w:rsidRPr="00B70B6B">
        <w:rPr>
          <w:sz w:val="22"/>
          <w:szCs w:val="22"/>
        </w:rPr>
        <w:t>cephalad</w:t>
      </w:r>
      <w:proofErr w:type="spellEnd"/>
      <w:r w:rsidRPr="00B70B6B">
        <w:rPr>
          <w:sz w:val="22"/>
          <w:szCs w:val="22"/>
        </w:rPr>
        <w:t xml:space="preserve"> to </w:t>
      </w:r>
      <w:proofErr w:type="spellStart"/>
      <w:r w:rsidRPr="00B70B6B">
        <w:rPr>
          <w:sz w:val="22"/>
          <w:szCs w:val="22"/>
        </w:rPr>
        <w:t>caudad</w:t>
      </w:r>
      <w:proofErr w:type="spellEnd"/>
      <w:r w:rsidRPr="00B70B6B">
        <w:rPr>
          <w:sz w:val="22"/>
          <w:szCs w:val="22"/>
        </w:rPr>
        <w:t xml:space="preserve"> dir</w:t>
      </w:r>
      <w:r w:rsidR="00F341A0">
        <w:rPr>
          <w:sz w:val="22"/>
          <w:szCs w:val="22"/>
        </w:rPr>
        <w:t xml:space="preserve">ection): the pleural space, the </w:t>
      </w:r>
      <w:proofErr w:type="spellStart"/>
      <w:r w:rsidR="00F341A0" w:rsidRPr="00F341A0">
        <w:rPr>
          <w:sz w:val="22"/>
          <w:szCs w:val="22"/>
        </w:rPr>
        <w:t>subphrenic</w:t>
      </w:r>
      <w:proofErr w:type="spellEnd"/>
      <w:r w:rsidR="00F341A0" w:rsidRPr="00F341A0">
        <w:rPr>
          <w:sz w:val="22"/>
          <w:szCs w:val="22"/>
        </w:rPr>
        <w:t xml:space="preserve"> space, the </w:t>
      </w:r>
      <w:proofErr w:type="spellStart"/>
      <w:r w:rsidR="00F341A0" w:rsidRPr="00F341A0">
        <w:rPr>
          <w:sz w:val="22"/>
          <w:szCs w:val="22"/>
        </w:rPr>
        <w:t>hepatorenal</w:t>
      </w:r>
      <w:proofErr w:type="spellEnd"/>
      <w:r w:rsidR="00F341A0" w:rsidRPr="00F341A0">
        <w:rPr>
          <w:sz w:val="22"/>
          <w:szCs w:val="22"/>
        </w:rPr>
        <w:t xml:space="preserve"> space (Morison’s pouch), and the inferior pole of the kidney, which is a continuation of the right </w:t>
      </w:r>
      <w:proofErr w:type="spellStart"/>
      <w:r w:rsidR="00F341A0" w:rsidRPr="00F341A0">
        <w:rPr>
          <w:sz w:val="22"/>
          <w:szCs w:val="22"/>
        </w:rPr>
        <w:t>paracolic</w:t>
      </w:r>
      <w:proofErr w:type="spellEnd"/>
      <w:r w:rsidR="00F341A0" w:rsidRPr="00F341A0">
        <w:rPr>
          <w:sz w:val="22"/>
          <w:szCs w:val="22"/>
        </w:rPr>
        <w:t xml:space="preserve"> gutter. </w:t>
      </w:r>
    </w:p>
    <w:p w14:paraId="2FAEE9E1" w14:textId="77777777" w:rsidR="00FB2629" w:rsidRDefault="00FB2629" w:rsidP="00FB2629">
      <w:pPr>
        <w:pStyle w:val="Default"/>
        <w:rPr>
          <w:sz w:val="22"/>
          <w:szCs w:val="22"/>
        </w:rPr>
      </w:pPr>
    </w:p>
    <w:p w14:paraId="644F18FB" w14:textId="26491AC6" w:rsidR="00FB2629" w:rsidRDefault="00FB2629" w:rsidP="00FB2629">
      <w:pPr>
        <w:pStyle w:val="Default"/>
        <w:rPr>
          <w:sz w:val="22"/>
          <w:szCs w:val="22"/>
        </w:rPr>
      </w:pPr>
      <w:r>
        <w:rPr>
          <w:noProof/>
          <w:sz w:val="22"/>
          <w:szCs w:val="22"/>
        </w:rPr>
        <w:drawing>
          <wp:inline distT="0" distB="0" distL="0" distR="0" wp14:anchorId="5D94EFFA" wp14:editId="331782EC">
            <wp:extent cx="5486400" cy="3710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Q 1.tiff"/>
                    <pic:cNvPicPr/>
                  </pic:nvPicPr>
                  <pic:blipFill>
                    <a:blip r:embed="rId6">
                      <a:extLst>
                        <a:ext uri="{28A0092B-C50C-407E-A947-70E740481C1C}">
                          <a14:useLocalDpi xmlns:a14="http://schemas.microsoft.com/office/drawing/2010/main" val="0"/>
                        </a:ext>
                      </a:extLst>
                    </a:blip>
                    <a:stretch>
                      <a:fillRect/>
                    </a:stretch>
                  </pic:blipFill>
                  <pic:spPr>
                    <a:xfrm>
                      <a:off x="0" y="0"/>
                      <a:ext cx="5486400" cy="3710940"/>
                    </a:xfrm>
                    <a:prstGeom prst="rect">
                      <a:avLst/>
                    </a:prstGeom>
                  </pic:spPr>
                </pic:pic>
              </a:graphicData>
            </a:graphic>
          </wp:inline>
        </w:drawing>
      </w:r>
    </w:p>
    <w:p w14:paraId="2806655D" w14:textId="6994D41D" w:rsidR="00FB2629" w:rsidRPr="00080BEB" w:rsidRDefault="00FB2629" w:rsidP="00FB2629">
      <w:pPr>
        <w:pStyle w:val="Default"/>
        <w:rPr>
          <w:sz w:val="22"/>
          <w:szCs w:val="22"/>
        </w:rPr>
      </w:pPr>
      <w:r>
        <w:rPr>
          <w:noProof/>
          <w:sz w:val="22"/>
          <w:szCs w:val="22"/>
        </w:rPr>
        <w:drawing>
          <wp:inline distT="0" distB="0" distL="0" distR="0" wp14:anchorId="0D9A3A6C" wp14:editId="12887459">
            <wp:extent cx="5486400" cy="34556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Q.tiff"/>
                    <pic:cNvPicPr/>
                  </pic:nvPicPr>
                  <pic:blipFill>
                    <a:blip r:embed="rId7">
                      <a:extLst>
                        <a:ext uri="{28A0092B-C50C-407E-A947-70E740481C1C}">
                          <a14:useLocalDpi xmlns:a14="http://schemas.microsoft.com/office/drawing/2010/main" val="0"/>
                        </a:ext>
                      </a:extLst>
                    </a:blip>
                    <a:stretch>
                      <a:fillRect/>
                    </a:stretch>
                  </pic:blipFill>
                  <pic:spPr>
                    <a:xfrm>
                      <a:off x="0" y="0"/>
                      <a:ext cx="5486400" cy="3455670"/>
                    </a:xfrm>
                    <a:prstGeom prst="rect">
                      <a:avLst/>
                    </a:prstGeom>
                  </pic:spPr>
                </pic:pic>
              </a:graphicData>
            </a:graphic>
          </wp:inline>
        </w:drawing>
      </w:r>
    </w:p>
    <w:p w14:paraId="09184845" w14:textId="6F91DB06" w:rsidR="00F90357" w:rsidRPr="00FB2629" w:rsidRDefault="00FB2629" w:rsidP="00FB2629">
      <w:pPr>
        <w:rPr>
          <w:rFonts w:ascii="Times New Roman" w:hAnsi="Times New Roman" w:cs="Times New Roman"/>
          <w:color w:val="000000"/>
          <w:sz w:val="22"/>
          <w:szCs w:val="22"/>
        </w:rPr>
      </w:pPr>
      <w:r>
        <w:rPr>
          <w:sz w:val="22"/>
          <w:szCs w:val="22"/>
        </w:rPr>
        <w:br w:type="page"/>
      </w:r>
    </w:p>
    <w:p w14:paraId="1A6FD511" w14:textId="01855D08" w:rsidR="00C319EB" w:rsidRDefault="00080BEB" w:rsidP="00A7779E">
      <w:pPr>
        <w:pStyle w:val="Default"/>
        <w:numPr>
          <w:ilvl w:val="0"/>
          <w:numId w:val="20"/>
        </w:numPr>
        <w:rPr>
          <w:b/>
          <w:i/>
          <w:sz w:val="22"/>
          <w:szCs w:val="22"/>
        </w:rPr>
      </w:pPr>
      <w:r>
        <w:rPr>
          <w:b/>
          <w:i/>
          <w:sz w:val="22"/>
          <w:szCs w:val="22"/>
        </w:rPr>
        <w:t>Cardiac</w:t>
      </w:r>
      <w:r w:rsidR="00567862">
        <w:rPr>
          <w:b/>
          <w:i/>
          <w:sz w:val="22"/>
          <w:szCs w:val="22"/>
        </w:rPr>
        <w:t xml:space="preserve"> View</w:t>
      </w:r>
    </w:p>
    <w:p w14:paraId="017B5C5F" w14:textId="23E575DE" w:rsidR="00080BEB" w:rsidRPr="00080BEB" w:rsidRDefault="00080BEB" w:rsidP="00E72F0F">
      <w:pPr>
        <w:pStyle w:val="Default"/>
        <w:numPr>
          <w:ilvl w:val="2"/>
          <w:numId w:val="22"/>
        </w:numPr>
        <w:rPr>
          <w:b/>
          <w:i/>
          <w:sz w:val="22"/>
          <w:szCs w:val="22"/>
        </w:rPr>
      </w:pPr>
      <w:r>
        <w:rPr>
          <w:sz w:val="22"/>
          <w:szCs w:val="22"/>
        </w:rPr>
        <w:t xml:space="preserve">The </w:t>
      </w:r>
      <w:proofErr w:type="spellStart"/>
      <w:r>
        <w:rPr>
          <w:sz w:val="22"/>
          <w:szCs w:val="22"/>
        </w:rPr>
        <w:t>subxiphoid</w:t>
      </w:r>
      <w:proofErr w:type="spellEnd"/>
      <w:r>
        <w:rPr>
          <w:sz w:val="22"/>
          <w:szCs w:val="22"/>
        </w:rPr>
        <w:t xml:space="preserve"> cardiac view is the most sensitive for pericardial fluid.</w:t>
      </w:r>
    </w:p>
    <w:p w14:paraId="23A8BCE8" w14:textId="77777777" w:rsidR="00E72F0F" w:rsidRPr="00E72F0F" w:rsidRDefault="00080BEB" w:rsidP="00E72F0F">
      <w:pPr>
        <w:pStyle w:val="Default"/>
        <w:numPr>
          <w:ilvl w:val="2"/>
          <w:numId w:val="22"/>
        </w:numPr>
        <w:rPr>
          <w:b/>
          <w:i/>
          <w:sz w:val="22"/>
          <w:szCs w:val="22"/>
        </w:rPr>
      </w:pPr>
      <w:r w:rsidRPr="00080BEB">
        <w:rPr>
          <w:sz w:val="22"/>
          <w:szCs w:val="22"/>
        </w:rPr>
        <w:t xml:space="preserve">The heart lies immediately behind the sternum, so that it is </w:t>
      </w:r>
      <w:r w:rsidR="00E72F0F" w:rsidRPr="00E72F0F">
        <w:rPr>
          <w:sz w:val="22"/>
          <w:szCs w:val="22"/>
        </w:rPr>
        <w:t xml:space="preserve">necessary, in a supine patient, to direct the probe in a direction toward the left shoulder that is almost parallel with the horizontal plane of the stretcher. </w:t>
      </w:r>
    </w:p>
    <w:p w14:paraId="658D6692" w14:textId="77777777" w:rsidR="00423845" w:rsidRPr="00423845" w:rsidRDefault="00E72F0F" w:rsidP="00423845">
      <w:pPr>
        <w:pStyle w:val="Default"/>
        <w:numPr>
          <w:ilvl w:val="2"/>
          <w:numId w:val="22"/>
        </w:numPr>
        <w:rPr>
          <w:b/>
          <w:i/>
          <w:sz w:val="22"/>
          <w:szCs w:val="22"/>
        </w:rPr>
      </w:pPr>
      <w:r w:rsidRPr="00E72F0F">
        <w:rPr>
          <w:sz w:val="22"/>
          <w:szCs w:val="22"/>
        </w:rPr>
        <w:t>The potential space of the pericardial sac is examined for fluid both inferiorly (between the diaphragmatic surface and the inferior myocardium) and posteriorly</w:t>
      </w:r>
      <w:r>
        <w:rPr>
          <w:sz w:val="22"/>
          <w:szCs w:val="22"/>
        </w:rPr>
        <w:t>.</w:t>
      </w:r>
    </w:p>
    <w:p w14:paraId="290BA0DF" w14:textId="4B6AEB35" w:rsidR="00FB2629" w:rsidRDefault="00423845" w:rsidP="00FB2629">
      <w:pPr>
        <w:pStyle w:val="Default"/>
        <w:numPr>
          <w:ilvl w:val="2"/>
          <w:numId w:val="22"/>
        </w:numPr>
        <w:rPr>
          <w:b/>
          <w:i/>
          <w:sz w:val="22"/>
          <w:szCs w:val="22"/>
        </w:rPr>
      </w:pPr>
      <w:r w:rsidRPr="00423845">
        <w:rPr>
          <w:sz w:val="22"/>
          <w:szCs w:val="22"/>
        </w:rPr>
        <w:t xml:space="preserve">In some patients, a </w:t>
      </w:r>
      <w:proofErr w:type="spellStart"/>
      <w:r w:rsidRPr="00423845">
        <w:rPr>
          <w:sz w:val="22"/>
          <w:szCs w:val="22"/>
        </w:rPr>
        <w:t>subxiphoid</w:t>
      </w:r>
      <w:proofErr w:type="spellEnd"/>
      <w:r w:rsidRPr="00423845">
        <w:rPr>
          <w:sz w:val="22"/>
          <w:szCs w:val="22"/>
        </w:rPr>
        <w:t xml:space="preserve"> view is not possible due to anterior abdominal trauma, or body habitus. In this case, other routinely used cardiac windows such as the parasternal or apical four-chamber views may be used</w:t>
      </w:r>
      <w:r>
        <w:rPr>
          <w:sz w:val="22"/>
          <w:szCs w:val="22"/>
        </w:rPr>
        <w:t>.</w:t>
      </w:r>
    </w:p>
    <w:p w14:paraId="0417A20C" w14:textId="498C7887" w:rsidR="00FB2629" w:rsidRDefault="00FB2629" w:rsidP="00FB2629">
      <w:pPr>
        <w:pStyle w:val="Default"/>
        <w:rPr>
          <w:sz w:val="22"/>
          <w:szCs w:val="22"/>
        </w:rPr>
      </w:pPr>
      <w:r>
        <w:rPr>
          <w:noProof/>
          <w:sz w:val="22"/>
          <w:szCs w:val="22"/>
        </w:rPr>
        <w:drawing>
          <wp:inline distT="0" distB="0" distL="0" distR="0" wp14:anchorId="4A6775BD" wp14:editId="2DC2D2F7">
            <wp:extent cx="5486400" cy="4049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xiphoid.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4049395"/>
                    </a:xfrm>
                    <a:prstGeom prst="rect">
                      <a:avLst/>
                    </a:prstGeom>
                  </pic:spPr>
                </pic:pic>
              </a:graphicData>
            </a:graphic>
          </wp:inline>
        </w:drawing>
      </w:r>
    </w:p>
    <w:p w14:paraId="19B068F9" w14:textId="531D6893" w:rsidR="00FB2629" w:rsidRDefault="00FB2629" w:rsidP="00FB2629">
      <w:pPr>
        <w:pStyle w:val="Default"/>
        <w:rPr>
          <w:sz w:val="22"/>
          <w:szCs w:val="22"/>
        </w:rPr>
      </w:pPr>
      <w:r>
        <w:rPr>
          <w:noProof/>
          <w:sz w:val="22"/>
          <w:szCs w:val="22"/>
        </w:rPr>
        <w:drawing>
          <wp:inline distT="0" distB="0" distL="0" distR="0" wp14:anchorId="2A41A9B1" wp14:editId="0E3DAFE7">
            <wp:extent cx="5486400" cy="41173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xiphoid 2.tiff"/>
                    <pic:cNvPicPr/>
                  </pic:nvPicPr>
                  <pic:blipFill>
                    <a:blip r:embed="rId9">
                      <a:extLst>
                        <a:ext uri="{28A0092B-C50C-407E-A947-70E740481C1C}">
                          <a14:useLocalDpi xmlns:a14="http://schemas.microsoft.com/office/drawing/2010/main" val="0"/>
                        </a:ext>
                      </a:extLst>
                    </a:blip>
                    <a:stretch>
                      <a:fillRect/>
                    </a:stretch>
                  </pic:blipFill>
                  <pic:spPr>
                    <a:xfrm>
                      <a:off x="0" y="0"/>
                      <a:ext cx="5486400" cy="4117340"/>
                    </a:xfrm>
                    <a:prstGeom prst="rect">
                      <a:avLst/>
                    </a:prstGeom>
                  </pic:spPr>
                </pic:pic>
              </a:graphicData>
            </a:graphic>
          </wp:inline>
        </w:drawing>
      </w:r>
    </w:p>
    <w:p w14:paraId="2CF8BCEB" w14:textId="5D745019" w:rsidR="00FB2629" w:rsidRDefault="00FB2629">
      <w:pPr>
        <w:rPr>
          <w:rFonts w:ascii="Times New Roman" w:hAnsi="Times New Roman" w:cs="Times New Roman"/>
          <w:color w:val="000000"/>
          <w:sz w:val="22"/>
          <w:szCs w:val="22"/>
        </w:rPr>
      </w:pPr>
      <w:r>
        <w:rPr>
          <w:sz w:val="22"/>
          <w:szCs w:val="22"/>
        </w:rPr>
        <w:br w:type="page"/>
      </w:r>
    </w:p>
    <w:p w14:paraId="5231A8EC" w14:textId="77777777" w:rsidR="00FB2629" w:rsidRPr="00FB2629" w:rsidRDefault="00FB2629" w:rsidP="00FB2629">
      <w:pPr>
        <w:pStyle w:val="Default"/>
        <w:rPr>
          <w:sz w:val="22"/>
          <w:szCs w:val="22"/>
        </w:rPr>
      </w:pPr>
    </w:p>
    <w:p w14:paraId="4DF2C9B9" w14:textId="5939D775" w:rsidR="00265A83" w:rsidRDefault="00265A83" w:rsidP="00265A83">
      <w:pPr>
        <w:pStyle w:val="Default"/>
        <w:numPr>
          <w:ilvl w:val="1"/>
          <w:numId w:val="22"/>
        </w:numPr>
        <w:rPr>
          <w:b/>
          <w:i/>
          <w:sz w:val="22"/>
          <w:szCs w:val="22"/>
        </w:rPr>
      </w:pPr>
      <w:r>
        <w:rPr>
          <w:b/>
          <w:i/>
          <w:sz w:val="22"/>
          <w:szCs w:val="22"/>
        </w:rPr>
        <w:t>LUQ View</w:t>
      </w:r>
      <w:r w:rsidR="00EA1D4B">
        <w:rPr>
          <w:b/>
          <w:i/>
          <w:sz w:val="22"/>
          <w:szCs w:val="22"/>
        </w:rPr>
        <w:t xml:space="preserve"> (aka </w:t>
      </w:r>
      <w:proofErr w:type="spellStart"/>
      <w:r w:rsidR="00EA1D4B">
        <w:rPr>
          <w:b/>
          <w:i/>
          <w:sz w:val="22"/>
          <w:szCs w:val="22"/>
        </w:rPr>
        <w:t>Perisplenic</w:t>
      </w:r>
      <w:proofErr w:type="spellEnd"/>
      <w:r w:rsidR="00EA1D4B">
        <w:rPr>
          <w:b/>
          <w:i/>
          <w:sz w:val="22"/>
          <w:szCs w:val="22"/>
        </w:rPr>
        <w:t xml:space="preserve"> View)</w:t>
      </w:r>
    </w:p>
    <w:p w14:paraId="5A9C27F2" w14:textId="77777777" w:rsidR="009D2E35" w:rsidRPr="009D2E35" w:rsidRDefault="00265A83" w:rsidP="00265A83">
      <w:pPr>
        <w:pStyle w:val="Default"/>
        <w:numPr>
          <w:ilvl w:val="2"/>
          <w:numId w:val="22"/>
        </w:numPr>
        <w:rPr>
          <w:b/>
          <w:i/>
          <w:sz w:val="22"/>
          <w:szCs w:val="22"/>
        </w:rPr>
      </w:pPr>
      <w:r>
        <w:rPr>
          <w:sz w:val="22"/>
          <w:szCs w:val="22"/>
        </w:rPr>
        <w:t>F</w:t>
      </w:r>
      <w:r w:rsidRPr="00265A83">
        <w:rPr>
          <w:sz w:val="22"/>
          <w:szCs w:val="22"/>
        </w:rPr>
        <w:t xml:space="preserve">our potential spaces are </w:t>
      </w:r>
      <w:proofErr w:type="spellStart"/>
      <w:r w:rsidRPr="00265A83">
        <w:rPr>
          <w:sz w:val="22"/>
          <w:szCs w:val="22"/>
        </w:rPr>
        <w:t>sonographically</w:t>
      </w:r>
      <w:proofErr w:type="spellEnd"/>
      <w:r w:rsidRPr="00265A83">
        <w:rPr>
          <w:sz w:val="22"/>
          <w:szCs w:val="22"/>
        </w:rPr>
        <w:t xml:space="preserve"> explored, analogous to the right upper quadrant view. These four spaces are: the pleural space, the </w:t>
      </w:r>
      <w:proofErr w:type="spellStart"/>
      <w:r w:rsidRPr="00265A83">
        <w:rPr>
          <w:sz w:val="22"/>
          <w:szCs w:val="22"/>
        </w:rPr>
        <w:t>subphrenic</w:t>
      </w:r>
      <w:proofErr w:type="spellEnd"/>
      <w:r w:rsidRPr="00265A83">
        <w:rPr>
          <w:sz w:val="22"/>
          <w:szCs w:val="22"/>
        </w:rPr>
        <w:t xml:space="preserve"> space, the </w:t>
      </w:r>
      <w:proofErr w:type="spellStart"/>
      <w:r w:rsidRPr="00265A83">
        <w:rPr>
          <w:sz w:val="22"/>
          <w:szCs w:val="22"/>
        </w:rPr>
        <w:t>splenorenal</w:t>
      </w:r>
      <w:proofErr w:type="spellEnd"/>
      <w:r w:rsidRPr="00265A83">
        <w:rPr>
          <w:sz w:val="22"/>
          <w:szCs w:val="22"/>
        </w:rPr>
        <w:t xml:space="preserve"> space, and the inferior pole of the kidney, which is a continuation of the left </w:t>
      </w:r>
      <w:proofErr w:type="spellStart"/>
      <w:r w:rsidRPr="00265A83">
        <w:rPr>
          <w:sz w:val="22"/>
          <w:szCs w:val="22"/>
        </w:rPr>
        <w:t>paracolic</w:t>
      </w:r>
      <w:proofErr w:type="spellEnd"/>
      <w:r w:rsidRPr="00265A83">
        <w:rPr>
          <w:sz w:val="22"/>
          <w:szCs w:val="22"/>
        </w:rPr>
        <w:t xml:space="preserve"> gutter. </w:t>
      </w:r>
    </w:p>
    <w:p w14:paraId="734BE389" w14:textId="022113FC" w:rsidR="009D2E35" w:rsidRPr="009D2E35" w:rsidRDefault="00265A83" w:rsidP="00265A83">
      <w:pPr>
        <w:pStyle w:val="Default"/>
        <w:numPr>
          <w:ilvl w:val="2"/>
          <w:numId w:val="22"/>
        </w:numPr>
        <w:rPr>
          <w:b/>
          <w:i/>
          <w:sz w:val="22"/>
          <w:szCs w:val="22"/>
        </w:rPr>
      </w:pPr>
      <w:r w:rsidRPr="00265A83">
        <w:rPr>
          <w:sz w:val="22"/>
          <w:szCs w:val="22"/>
        </w:rPr>
        <w:t xml:space="preserve">This view can make some use of the spleen as a sonographic window, but, being so much smaller, it provides a much more limited window than the liver on the right. </w:t>
      </w:r>
    </w:p>
    <w:p w14:paraId="4A0855DB" w14:textId="2EB2C4F6" w:rsidR="009D2E35" w:rsidRPr="009D2E35" w:rsidRDefault="009D2E35" w:rsidP="00265A83">
      <w:pPr>
        <w:pStyle w:val="Default"/>
        <w:numPr>
          <w:ilvl w:val="2"/>
          <w:numId w:val="22"/>
        </w:numPr>
        <w:rPr>
          <w:b/>
          <w:i/>
          <w:sz w:val="22"/>
          <w:szCs w:val="22"/>
        </w:rPr>
      </w:pPr>
      <w:r>
        <w:rPr>
          <w:sz w:val="22"/>
          <w:szCs w:val="22"/>
        </w:rPr>
        <w:t>The probe should be placed along the posterior axillary line to visualize the four spaces in the LUQ.</w:t>
      </w:r>
    </w:p>
    <w:p w14:paraId="75700A7F" w14:textId="0A99D40F" w:rsidR="00265A83" w:rsidRPr="00FB2629" w:rsidRDefault="00265A83" w:rsidP="00313E4E">
      <w:pPr>
        <w:pStyle w:val="Default"/>
        <w:numPr>
          <w:ilvl w:val="2"/>
          <w:numId w:val="22"/>
        </w:numPr>
        <w:rPr>
          <w:b/>
          <w:i/>
          <w:sz w:val="22"/>
          <w:szCs w:val="22"/>
        </w:rPr>
      </w:pPr>
      <w:r w:rsidRPr="00265A83">
        <w:rPr>
          <w:sz w:val="22"/>
          <w:szCs w:val="22"/>
        </w:rPr>
        <w:t xml:space="preserve">As on the right, the pleural spaces are investigated for evidence of </w:t>
      </w:r>
      <w:proofErr w:type="spellStart"/>
      <w:r w:rsidRPr="00265A83">
        <w:rPr>
          <w:sz w:val="22"/>
          <w:szCs w:val="22"/>
        </w:rPr>
        <w:t>hemothorax</w:t>
      </w:r>
      <w:proofErr w:type="spellEnd"/>
      <w:r w:rsidRPr="00265A83">
        <w:rPr>
          <w:sz w:val="22"/>
          <w:szCs w:val="22"/>
        </w:rPr>
        <w:t xml:space="preserve"> by looking for anechoic or </w:t>
      </w:r>
      <w:proofErr w:type="spellStart"/>
      <w:r w:rsidRPr="00265A83">
        <w:rPr>
          <w:sz w:val="22"/>
          <w:szCs w:val="22"/>
        </w:rPr>
        <w:t>hypoechoic</w:t>
      </w:r>
      <w:proofErr w:type="spellEnd"/>
      <w:r w:rsidRPr="00265A83">
        <w:rPr>
          <w:sz w:val="22"/>
          <w:szCs w:val="22"/>
        </w:rPr>
        <w:t xml:space="preserve"> collections above the diaphragm. In order to visualize the inferior pole of the left kidney and the superior extent of the left </w:t>
      </w:r>
      <w:proofErr w:type="spellStart"/>
      <w:r w:rsidRPr="00265A83">
        <w:rPr>
          <w:sz w:val="22"/>
          <w:szCs w:val="22"/>
        </w:rPr>
        <w:t>paracolic</w:t>
      </w:r>
      <w:proofErr w:type="spellEnd"/>
      <w:r w:rsidRPr="00265A83">
        <w:rPr>
          <w:sz w:val="22"/>
          <w:szCs w:val="22"/>
        </w:rPr>
        <w:t xml:space="preserve"> gutter, it is usually necessary to move the probe one to three rib spaces in a caudal direction. In each rib space, the probe is systematically swept through all planes in a search for free fluid. </w:t>
      </w:r>
    </w:p>
    <w:p w14:paraId="562A3768" w14:textId="69562B5E" w:rsidR="00FB2629" w:rsidRDefault="00FB2629" w:rsidP="00FB2629">
      <w:pPr>
        <w:pStyle w:val="Default"/>
        <w:rPr>
          <w:sz w:val="22"/>
          <w:szCs w:val="22"/>
        </w:rPr>
      </w:pPr>
      <w:r>
        <w:rPr>
          <w:noProof/>
          <w:sz w:val="22"/>
          <w:szCs w:val="22"/>
        </w:rPr>
        <w:drawing>
          <wp:inline distT="0" distB="0" distL="0" distR="0" wp14:anchorId="29CAA77E" wp14:editId="2D23DCC4">
            <wp:extent cx="5486400"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Q.tiff"/>
                    <pic:cNvPicPr/>
                  </pic:nvPicPr>
                  <pic:blipFill>
                    <a:blip r:embed="rId10">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53D920D8" w14:textId="367997A2" w:rsidR="00FB2629" w:rsidRDefault="00FB2629" w:rsidP="00FB2629">
      <w:pPr>
        <w:pStyle w:val="Default"/>
        <w:rPr>
          <w:sz w:val="22"/>
          <w:szCs w:val="22"/>
        </w:rPr>
      </w:pPr>
      <w:r>
        <w:rPr>
          <w:noProof/>
          <w:sz w:val="22"/>
          <w:szCs w:val="22"/>
        </w:rPr>
        <w:drawing>
          <wp:inline distT="0" distB="0" distL="0" distR="0" wp14:anchorId="71BB0175" wp14:editId="60506D8A">
            <wp:extent cx="5486400" cy="37795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Q 2.tiff"/>
                    <pic:cNvPicPr/>
                  </pic:nvPicPr>
                  <pic:blipFill>
                    <a:blip r:embed="rId11">
                      <a:extLst>
                        <a:ext uri="{28A0092B-C50C-407E-A947-70E740481C1C}">
                          <a14:useLocalDpi xmlns:a14="http://schemas.microsoft.com/office/drawing/2010/main" val="0"/>
                        </a:ext>
                      </a:extLst>
                    </a:blip>
                    <a:stretch>
                      <a:fillRect/>
                    </a:stretch>
                  </pic:blipFill>
                  <pic:spPr>
                    <a:xfrm>
                      <a:off x="0" y="0"/>
                      <a:ext cx="5486400" cy="3779520"/>
                    </a:xfrm>
                    <a:prstGeom prst="rect">
                      <a:avLst/>
                    </a:prstGeom>
                  </pic:spPr>
                </pic:pic>
              </a:graphicData>
            </a:graphic>
          </wp:inline>
        </w:drawing>
      </w:r>
    </w:p>
    <w:p w14:paraId="08873282" w14:textId="0E690FCC" w:rsidR="00FB2629" w:rsidRDefault="00FB2629" w:rsidP="00FB2629">
      <w:pPr>
        <w:pStyle w:val="Default"/>
        <w:rPr>
          <w:sz w:val="22"/>
          <w:szCs w:val="22"/>
        </w:rPr>
      </w:pPr>
      <w:r>
        <w:rPr>
          <w:noProof/>
          <w:sz w:val="22"/>
          <w:szCs w:val="22"/>
        </w:rPr>
        <w:drawing>
          <wp:inline distT="0" distB="0" distL="0" distR="0" wp14:anchorId="6F8FB7E8" wp14:editId="4E637FB5">
            <wp:extent cx="5486400" cy="36950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Q 3.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3695065"/>
                    </a:xfrm>
                    <a:prstGeom prst="rect">
                      <a:avLst/>
                    </a:prstGeom>
                  </pic:spPr>
                </pic:pic>
              </a:graphicData>
            </a:graphic>
          </wp:inline>
        </w:drawing>
      </w:r>
    </w:p>
    <w:p w14:paraId="2C9C6A2C" w14:textId="7AF65513" w:rsidR="00FB2629" w:rsidRPr="00FB2629" w:rsidRDefault="00FB2629" w:rsidP="00FB2629">
      <w:pPr>
        <w:rPr>
          <w:rFonts w:ascii="Times New Roman" w:hAnsi="Times New Roman" w:cs="Times New Roman"/>
          <w:color w:val="000000"/>
          <w:sz w:val="22"/>
          <w:szCs w:val="22"/>
        </w:rPr>
      </w:pPr>
      <w:r>
        <w:rPr>
          <w:sz w:val="22"/>
          <w:szCs w:val="22"/>
        </w:rPr>
        <w:br w:type="page"/>
      </w:r>
    </w:p>
    <w:p w14:paraId="4A68FF2B" w14:textId="228F6DBF" w:rsidR="00313E4E" w:rsidRPr="00313E4E" w:rsidRDefault="00EA1D4B" w:rsidP="00313E4E">
      <w:pPr>
        <w:pStyle w:val="Default"/>
        <w:numPr>
          <w:ilvl w:val="1"/>
          <w:numId w:val="22"/>
        </w:numPr>
        <w:rPr>
          <w:b/>
          <w:i/>
          <w:sz w:val="22"/>
          <w:szCs w:val="22"/>
        </w:rPr>
      </w:pPr>
      <w:proofErr w:type="spellStart"/>
      <w:r>
        <w:rPr>
          <w:b/>
          <w:i/>
          <w:sz w:val="22"/>
          <w:szCs w:val="22"/>
        </w:rPr>
        <w:t>Suprapubic</w:t>
      </w:r>
      <w:proofErr w:type="spellEnd"/>
      <w:r>
        <w:rPr>
          <w:b/>
          <w:i/>
          <w:sz w:val="22"/>
          <w:szCs w:val="22"/>
        </w:rPr>
        <w:t xml:space="preserve"> View (aka </w:t>
      </w:r>
      <w:r w:rsidR="00313E4E" w:rsidRPr="00313E4E">
        <w:rPr>
          <w:b/>
          <w:i/>
          <w:sz w:val="22"/>
          <w:szCs w:val="22"/>
        </w:rPr>
        <w:t>Pelvic View</w:t>
      </w:r>
      <w:r>
        <w:rPr>
          <w:b/>
          <w:i/>
          <w:sz w:val="22"/>
          <w:szCs w:val="22"/>
        </w:rPr>
        <w:t>)</w:t>
      </w:r>
    </w:p>
    <w:p w14:paraId="5BF4749A" w14:textId="77777777" w:rsidR="000F1745" w:rsidRPr="00FB2629" w:rsidRDefault="000F1745" w:rsidP="000F1745">
      <w:pPr>
        <w:pStyle w:val="ListParagraph"/>
        <w:widowControl w:val="0"/>
        <w:numPr>
          <w:ilvl w:val="2"/>
          <w:numId w:val="22"/>
        </w:numPr>
        <w:autoSpaceDE w:val="0"/>
        <w:autoSpaceDN w:val="0"/>
        <w:adjustRightInd w:val="0"/>
        <w:rPr>
          <w:rFonts w:ascii="Times New Roman" w:hAnsi="Times New Roman" w:cs="Times New Roman"/>
          <w:color w:val="000000"/>
        </w:rPr>
      </w:pPr>
      <w:r w:rsidRPr="000F1745">
        <w:rPr>
          <w:rFonts w:ascii="Times New Roman" w:hAnsi="Times New Roman" w:cs="Times New Roman"/>
          <w:color w:val="000000"/>
          <w:sz w:val="22"/>
          <w:szCs w:val="22"/>
        </w:rPr>
        <w:t xml:space="preserve">This space is the most dependent peritoneal space in the supine position. A full bladder is ideal to visualize the potential spaces in the pelvis, but adequate views can often be obtained with a partly filled bladder. When the bladder is empty, large </w:t>
      </w:r>
      <w:proofErr w:type="gramStart"/>
      <w:r w:rsidRPr="000F1745">
        <w:rPr>
          <w:rFonts w:ascii="Times New Roman" w:hAnsi="Times New Roman" w:cs="Times New Roman"/>
          <w:color w:val="000000"/>
          <w:sz w:val="22"/>
          <w:szCs w:val="22"/>
        </w:rPr>
        <w:t>volumes</w:t>
      </w:r>
      <w:proofErr w:type="gramEnd"/>
      <w:r w:rsidRPr="000F1745">
        <w:rPr>
          <w:rFonts w:ascii="Times New Roman" w:hAnsi="Times New Roman" w:cs="Times New Roman"/>
          <w:color w:val="000000"/>
          <w:sz w:val="22"/>
          <w:szCs w:val="22"/>
        </w:rPr>
        <w:t xml:space="preserve"> of anechoic or </w:t>
      </w:r>
      <w:proofErr w:type="spellStart"/>
      <w:r w:rsidRPr="000F1745">
        <w:rPr>
          <w:rFonts w:ascii="Times New Roman" w:hAnsi="Times New Roman" w:cs="Times New Roman"/>
          <w:color w:val="000000"/>
          <w:sz w:val="22"/>
          <w:szCs w:val="22"/>
        </w:rPr>
        <w:t>hypoechoic</w:t>
      </w:r>
      <w:proofErr w:type="spellEnd"/>
      <w:r w:rsidRPr="000F1745">
        <w:rPr>
          <w:rFonts w:ascii="Times New Roman" w:hAnsi="Times New Roman" w:cs="Times New Roman"/>
          <w:color w:val="000000"/>
          <w:sz w:val="22"/>
          <w:szCs w:val="22"/>
        </w:rPr>
        <w:t xml:space="preserve"> free fluid may still be seen, however it is not possible to reliably rule out the presence of smaller amounts of free fluid. The probe is placed in the transverse plane immediately </w:t>
      </w:r>
      <w:proofErr w:type="spellStart"/>
      <w:r w:rsidRPr="000F1745">
        <w:rPr>
          <w:rFonts w:ascii="Times New Roman" w:hAnsi="Times New Roman" w:cs="Times New Roman"/>
          <w:color w:val="000000"/>
          <w:sz w:val="22"/>
          <w:szCs w:val="22"/>
        </w:rPr>
        <w:t>cephalad</w:t>
      </w:r>
      <w:proofErr w:type="spellEnd"/>
      <w:r w:rsidRPr="000F1745">
        <w:rPr>
          <w:rFonts w:ascii="Times New Roman" w:hAnsi="Times New Roman" w:cs="Times New Roman"/>
          <w:color w:val="000000"/>
          <w:sz w:val="22"/>
          <w:szCs w:val="22"/>
        </w:rPr>
        <w:t xml:space="preserve"> to the pubic bone. This maximizes the sonographic window afforded by the bladder. The probe is rocked from inferior to the dome of the bladder in a systematic manner through all tissue planes. The probe may be rotated 90 degrees counter-clockwise into the sagittal plane for additional visualization of the bladder and pelvic peritoneum. </w:t>
      </w:r>
    </w:p>
    <w:p w14:paraId="591A34EC" w14:textId="77777777" w:rsidR="00FB2629" w:rsidRPr="00FB2629" w:rsidRDefault="00FB2629" w:rsidP="00FB2629">
      <w:pPr>
        <w:widowControl w:val="0"/>
        <w:autoSpaceDE w:val="0"/>
        <w:autoSpaceDN w:val="0"/>
        <w:adjustRightInd w:val="0"/>
        <w:rPr>
          <w:rFonts w:ascii="Times New Roman" w:hAnsi="Times New Roman" w:cs="Times New Roman"/>
          <w:color w:val="000000"/>
        </w:rPr>
      </w:pPr>
    </w:p>
    <w:p w14:paraId="4543A296" w14:textId="79EAC8F7" w:rsidR="00FB2629" w:rsidRDefault="00FB2629" w:rsidP="00FB2629">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3F2CAF3B" wp14:editId="61C08214">
            <wp:extent cx="5486400" cy="37325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rapubic.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3732530"/>
                    </a:xfrm>
                    <a:prstGeom prst="rect">
                      <a:avLst/>
                    </a:prstGeom>
                  </pic:spPr>
                </pic:pic>
              </a:graphicData>
            </a:graphic>
          </wp:inline>
        </w:drawing>
      </w:r>
    </w:p>
    <w:p w14:paraId="215ABED3" w14:textId="2BA0FC85" w:rsidR="00FB2629" w:rsidRDefault="00FB2629" w:rsidP="00FB2629">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5A044C49" wp14:editId="5CAD3B17">
            <wp:extent cx="5486400" cy="34010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rpubic Trsv.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3401060"/>
                    </a:xfrm>
                    <a:prstGeom prst="rect">
                      <a:avLst/>
                    </a:prstGeom>
                  </pic:spPr>
                </pic:pic>
              </a:graphicData>
            </a:graphic>
          </wp:inline>
        </w:drawing>
      </w:r>
    </w:p>
    <w:p w14:paraId="7CC0C59B" w14:textId="77777777" w:rsidR="00FB2629" w:rsidRDefault="00FB2629" w:rsidP="00FB2629">
      <w:pPr>
        <w:widowControl w:val="0"/>
        <w:autoSpaceDE w:val="0"/>
        <w:autoSpaceDN w:val="0"/>
        <w:adjustRightInd w:val="0"/>
        <w:rPr>
          <w:rFonts w:ascii="Times New Roman" w:hAnsi="Times New Roman" w:cs="Times New Roman"/>
          <w:color w:val="000000"/>
        </w:rPr>
      </w:pPr>
    </w:p>
    <w:p w14:paraId="0A69CCDD" w14:textId="77777777" w:rsidR="00FB2629" w:rsidRDefault="00FB2629" w:rsidP="00FB2629">
      <w:pPr>
        <w:widowControl w:val="0"/>
        <w:autoSpaceDE w:val="0"/>
        <w:autoSpaceDN w:val="0"/>
        <w:adjustRightInd w:val="0"/>
        <w:rPr>
          <w:rFonts w:ascii="Times New Roman" w:hAnsi="Times New Roman" w:cs="Times New Roman"/>
          <w:color w:val="000000"/>
        </w:rPr>
      </w:pPr>
    </w:p>
    <w:p w14:paraId="17E4F003" w14:textId="3BD99AB3" w:rsidR="00FB2629" w:rsidRPr="00FB2629" w:rsidRDefault="00FB2629" w:rsidP="00FB2629">
      <w:pPr>
        <w:widowControl w:val="0"/>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26109E7E" wp14:editId="346D1DBA">
            <wp:extent cx="5486400" cy="33870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rapubic Lng.tiff"/>
                    <pic:cNvPicPr/>
                  </pic:nvPicPr>
                  <pic:blipFill>
                    <a:blip r:embed="rId15">
                      <a:extLst>
                        <a:ext uri="{28A0092B-C50C-407E-A947-70E740481C1C}">
                          <a14:useLocalDpi xmlns:a14="http://schemas.microsoft.com/office/drawing/2010/main" val="0"/>
                        </a:ext>
                      </a:extLst>
                    </a:blip>
                    <a:stretch>
                      <a:fillRect/>
                    </a:stretch>
                  </pic:blipFill>
                  <pic:spPr>
                    <a:xfrm>
                      <a:off x="0" y="0"/>
                      <a:ext cx="5486400" cy="3387090"/>
                    </a:xfrm>
                    <a:prstGeom prst="rect">
                      <a:avLst/>
                    </a:prstGeom>
                  </pic:spPr>
                </pic:pic>
              </a:graphicData>
            </a:graphic>
          </wp:inline>
        </w:drawing>
      </w:r>
    </w:p>
    <w:p w14:paraId="0174D7AB" w14:textId="77777777" w:rsidR="00FB2629" w:rsidRDefault="00FB2629">
      <w:pPr>
        <w:rPr>
          <w:rFonts w:ascii="Times New Roman" w:hAnsi="Times New Roman" w:cs="Times New Roman"/>
          <w:b/>
          <w:i/>
          <w:color w:val="000000"/>
        </w:rPr>
      </w:pPr>
      <w:r>
        <w:rPr>
          <w:rFonts w:ascii="Times New Roman" w:hAnsi="Times New Roman" w:cs="Times New Roman"/>
          <w:b/>
          <w:i/>
          <w:color w:val="000000"/>
        </w:rPr>
        <w:br w:type="page"/>
      </w:r>
    </w:p>
    <w:p w14:paraId="752354F4" w14:textId="4C84105F" w:rsidR="002371B4" w:rsidRPr="002371B4" w:rsidRDefault="002371B4" w:rsidP="002371B4">
      <w:pPr>
        <w:pStyle w:val="ListParagraph"/>
        <w:widowControl w:val="0"/>
        <w:numPr>
          <w:ilvl w:val="0"/>
          <w:numId w:val="22"/>
        </w:numPr>
        <w:autoSpaceDE w:val="0"/>
        <w:autoSpaceDN w:val="0"/>
        <w:adjustRightInd w:val="0"/>
        <w:rPr>
          <w:rFonts w:ascii="Times New Roman" w:hAnsi="Times New Roman" w:cs="Times New Roman"/>
          <w:b/>
          <w:i/>
          <w:color w:val="000000"/>
        </w:rPr>
      </w:pPr>
      <w:r w:rsidRPr="002371B4">
        <w:rPr>
          <w:rFonts w:ascii="Times New Roman" w:hAnsi="Times New Roman" w:cs="Times New Roman"/>
          <w:b/>
          <w:i/>
          <w:color w:val="000000"/>
        </w:rPr>
        <w:t>Pneumothorax Evaluation</w:t>
      </w:r>
    </w:p>
    <w:p w14:paraId="677F0003" w14:textId="53D2A525" w:rsidR="002371B4" w:rsidRPr="002371B4" w:rsidRDefault="002371B4" w:rsidP="002371B4">
      <w:pPr>
        <w:pStyle w:val="ListParagraph"/>
        <w:widowControl w:val="0"/>
        <w:numPr>
          <w:ilvl w:val="2"/>
          <w:numId w:val="22"/>
        </w:numPr>
        <w:autoSpaceDE w:val="0"/>
        <w:autoSpaceDN w:val="0"/>
        <w:adjustRightInd w:val="0"/>
        <w:rPr>
          <w:rFonts w:ascii="Times New Roman" w:eastAsia="Arial Unicode MS" w:hAnsi="Times New Roman" w:cs="Times New Roman"/>
          <w:color w:val="000000"/>
          <w:sz w:val="22"/>
          <w:szCs w:val="22"/>
        </w:rPr>
      </w:pPr>
      <w:r w:rsidRPr="002371B4">
        <w:rPr>
          <w:rFonts w:ascii="Times New Roman" w:hAnsi="Times New Roman" w:cs="Times New Roman"/>
          <w:color w:val="000000"/>
          <w:sz w:val="22"/>
          <w:szCs w:val="22"/>
        </w:rPr>
        <w:t>Anterior pleural (Bilateral). In non-collapsed lung, the anterior visceral and parietal pleura are intimately apposed, and slide past one another during respiration. Absence of identifiable pleural sliding is indicative of separation of the parietal</w:t>
      </w:r>
      <w:r w:rsidRPr="002371B4">
        <w:rPr>
          <w:rFonts w:ascii="Arial Unicode MS" w:eastAsia="Arial Unicode MS" w:hAnsi="Times New Roman" w:cs="Arial Unicode MS"/>
          <w:color w:val="000000"/>
          <w:sz w:val="22"/>
          <w:szCs w:val="22"/>
        </w:rPr>
        <w:t>–</w:t>
      </w:r>
      <w:r w:rsidRPr="002371B4">
        <w:rPr>
          <w:rFonts w:ascii="Times New Roman" w:eastAsia="Arial Unicode MS" w:hAnsi="Times New Roman" w:cs="Times New Roman"/>
          <w:color w:val="000000"/>
          <w:sz w:val="22"/>
          <w:szCs w:val="22"/>
        </w:rPr>
        <w:t xml:space="preserve">visceral pleural interface by interposed gas, </w:t>
      </w:r>
      <w:proofErr w:type="spellStart"/>
      <w:r w:rsidRPr="002371B4">
        <w:rPr>
          <w:rFonts w:ascii="Times New Roman" w:eastAsia="Arial Unicode MS" w:hAnsi="Times New Roman" w:cs="Times New Roman"/>
          <w:color w:val="000000"/>
          <w:sz w:val="22"/>
          <w:szCs w:val="22"/>
        </w:rPr>
        <w:t>ie</w:t>
      </w:r>
      <w:proofErr w:type="spellEnd"/>
      <w:r w:rsidRPr="002371B4">
        <w:rPr>
          <w:rFonts w:ascii="Times New Roman" w:eastAsia="Arial Unicode MS" w:hAnsi="Times New Roman" w:cs="Times New Roman"/>
          <w:color w:val="000000"/>
          <w:sz w:val="22"/>
          <w:szCs w:val="22"/>
        </w:rPr>
        <w:t xml:space="preserve">, pneumothorax. In the supine position, the anterior pleura are examined by placing </w:t>
      </w:r>
      <w:r w:rsidR="004166A9">
        <w:rPr>
          <w:rFonts w:ascii="Times New Roman" w:eastAsia="Arial Unicode MS" w:hAnsi="Times New Roman" w:cs="Times New Roman"/>
          <w:color w:val="000000"/>
          <w:sz w:val="22"/>
          <w:szCs w:val="22"/>
        </w:rPr>
        <w:t>a linear</w:t>
      </w:r>
      <w:r w:rsidRPr="002371B4">
        <w:rPr>
          <w:rFonts w:ascii="Times New Roman" w:eastAsia="Arial Unicode MS" w:hAnsi="Times New Roman" w:cs="Times New Roman"/>
          <w:color w:val="000000"/>
          <w:sz w:val="22"/>
          <w:szCs w:val="22"/>
        </w:rPr>
        <w:t xml:space="preserve"> probe in a sagittal plane in the rib interspaces between the clavicle and diaphragm. The approximate </w:t>
      </w:r>
      <w:proofErr w:type="spellStart"/>
      <w:r w:rsidRPr="002371B4">
        <w:rPr>
          <w:rFonts w:ascii="Times New Roman" w:eastAsia="Arial Unicode MS" w:hAnsi="Times New Roman" w:cs="Times New Roman"/>
          <w:color w:val="000000"/>
          <w:sz w:val="22"/>
          <w:szCs w:val="22"/>
        </w:rPr>
        <w:t>midclavicular</w:t>
      </w:r>
      <w:proofErr w:type="spellEnd"/>
      <w:r w:rsidRPr="002371B4">
        <w:rPr>
          <w:rFonts w:ascii="Times New Roman" w:eastAsia="Arial Unicode MS" w:hAnsi="Times New Roman" w:cs="Times New Roman"/>
          <w:color w:val="000000"/>
          <w:sz w:val="22"/>
          <w:szCs w:val="22"/>
        </w:rPr>
        <w:t xml:space="preserve"> line is used on both sides. It is necessary to adjust frequency, depth, </w:t>
      </w:r>
      <w:proofErr w:type="gramStart"/>
      <w:r w:rsidRPr="002371B4">
        <w:rPr>
          <w:rFonts w:ascii="Times New Roman" w:eastAsia="Arial Unicode MS" w:hAnsi="Times New Roman" w:cs="Times New Roman"/>
          <w:color w:val="000000"/>
          <w:sz w:val="22"/>
          <w:szCs w:val="22"/>
        </w:rPr>
        <w:t>focus</w:t>
      </w:r>
      <w:proofErr w:type="gramEnd"/>
      <w:r w:rsidRPr="002371B4">
        <w:rPr>
          <w:rFonts w:ascii="Times New Roman" w:eastAsia="Arial Unicode MS" w:hAnsi="Times New Roman" w:cs="Times New Roman"/>
          <w:color w:val="000000"/>
          <w:sz w:val="22"/>
          <w:szCs w:val="22"/>
        </w:rPr>
        <w:t xml:space="preserve"> and gain settings to optimally image these superficial structures. </w:t>
      </w:r>
    </w:p>
    <w:p w14:paraId="3911E58B" w14:textId="75CE079F" w:rsidR="00313E4E" w:rsidRDefault="00595D85" w:rsidP="00FB2629">
      <w:pPr>
        <w:pStyle w:val="Default"/>
        <w:rPr>
          <w:sz w:val="22"/>
          <w:szCs w:val="22"/>
        </w:rPr>
      </w:pPr>
      <w:r>
        <w:rPr>
          <w:noProof/>
          <w:sz w:val="22"/>
          <w:szCs w:val="22"/>
        </w:rPr>
        <w:drawing>
          <wp:inline distT="0" distB="0" distL="0" distR="0" wp14:anchorId="7C07512D" wp14:editId="6D87B2E0">
            <wp:extent cx="5486400" cy="40868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X 1.tiff"/>
                    <pic:cNvPicPr/>
                  </pic:nvPicPr>
                  <pic:blipFill>
                    <a:blip r:embed="rId16">
                      <a:extLst>
                        <a:ext uri="{28A0092B-C50C-407E-A947-70E740481C1C}">
                          <a14:useLocalDpi xmlns:a14="http://schemas.microsoft.com/office/drawing/2010/main" val="0"/>
                        </a:ext>
                      </a:extLst>
                    </a:blip>
                    <a:stretch>
                      <a:fillRect/>
                    </a:stretch>
                  </pic:blipFill>
                  <pic:spPr>
                    <a:xfrm>
                      <a:off x="0" y="0"/>
                      <a:ext cx="5486400" cy="4086860"/>
                    </a:xfrm>
                    <a:prstGeom prst="rect">
                      <a:avLst/>
                    </a:prstGeom>
                  </pic:spPr>
                </pic:pic>
              </a:graphicData>
            </a:graphic>
          </wp:inline>
        </w:drawing>
      </w:r>
    </w:p>
    <w:p w14:paraId="09E6258D" w14:textId="77777777" w:rsidR="00595D85" w:rsidRDefault="00595D85" w:rsidP="00FB2629">
      <w:pPr>
        <w:pStyle w:val="Default"/>
        <w:rPr>
          <w:sz w:val="22"/>
          <w:szCs w:val="22"/>
        </w:rPr>
      </w:pPr>
    </w:p>
    <w:p w14:paraId="5D3B5488" w14:textId="15D653C5" w:rsidR="00595D85" w:rsidRDefault="00595D85" w:rsidP="00FB2629">
      <w:pPr>
        <w:pStyle w:val="Default"/>
        <w:rPr>
          <w:sz w:val="22"/>
          <w:szCs w:val="22"/>
        </w:rPr>
      </w:pPr>
      <w:r>
        <w:rPr>
          <w:noProof/>
          <w:sz w:val="22"/>
          <w:szCs w:val="22"/>
        </w:rPr>
        <w:drawing>
          <wp:inline distT="0" distB="0" distL="0" distR="0" wp14:anchorId="5A58783E" wp14:editId="062CAF33">
            <wp:extent cx="5486400" cy="2593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X 2.tiff"/>
                    <pic:cNvPicPr/>
                  </pic:nvPicPr>
                  <pic:blipFill>
                    <a:blip r:embed="rId17">
                      <a:extLst>
                        <a:ext uri="{28A0092B-C50C-407E-A947-70E740481C1C}">
                          <a14:useLocalDpi xmlns:a14="http://schemas.microsoft.com/office/drawing/2010/main" val="0"/>
                        </a:ext>
                      </a:extLst>
                    </a:blip>
                    <a:stretch>
                      <a:fillRect/>
                    </a:stretch>
                  </pic:blipFill>
                  <pic:spPr>
                    <a:xfrm>
                      <a:off x="0" y="0"/>
                      <a:ext cx="5486400" cy="2593340"/>
                    </a:xfrm>
                    <a:prstGeom prst="rect">
                      <a:avLst/>
                    </a:prstGeom>
                  </pic:spPr>
                </pic:pic>
              </a:graphicData>
            </a:graphic>
          </wp:inline>
        </w:drawing>
      </w:r>
    </w:p>
    <w:p w14:paraId="7B49E54E" w14:textId="77777777" w:rsidR="00595D85" w:rsidRDefault="00595D85" w:rsidP="00FB2629">
      <w:pPr>
        <w:pStyle w:val="Default"/>
        <w:rPr>
          <w:sz w:val="22"/>
          <w:szCs w:val="22"/>
        </w:rPr>
      </w:pPr>
    </w:p>
    <w:p w14:paraId="31B6595C" w14:textId="77777777" w:rsidR="00595D85" w:rsidRDefault="00595D85" w:rsidP="00FB2629">
      <w:pPr>
        <w:pStyle w:val="Default"/>
        <w:rPr>
          <w:sz w:val="22"/>
          <w:szCs w:val="22"/>
        </w:rPr>
      </w:pPr>
    </w:p>
    <w:p w14:paraId="3B8EE262" w14:textId="77777777" w:rsidR="00595D85" w:rsidRDefault="00595D85" w:rsidP="00FB2629">
      <w:pPr>
        <w:pStyle w:val="Default"/>
        <w:rPr>
          <w:sz w:val="22"/>
          <w:szCs w:val="22"/>
        </w:rPr>
      </w:pPr>
    </w:p>
    <w:p w14:paraId="738F99C6" w14:textId="77777777" w:rsidR="00595D85" w:rsidRDefault="00595D85" w:rsidP="00FB2629">
      <w:pPr>
        <w:pStyle w:val="Default"/>
        <w:rPr>
          <w:sz w:val="22"/>
          <w:szCs w:val="22"/>
        </w:rPr>
      </w:pPr>
      <w:bookmarkStart w:id="0" w:name="_GoBack"/>
      <w:bookmarkEnd w:id="0"/>
    </w:p>
    <w:p w14:paraId="5CEEE0DD" w14:textId="486851E1" w:rsidR="00595D85" w:rsidRDefault="00595D85" w:rsidP="00FB2629">
      <w:pPr>
        <w:pStyle w:val="Default"/>
        <w:rPr>
          <w:sz w:val="22"/>
          <w:szCs w:val="22"/>
        </w:rPr>
      </w:pPr>
      <w:r>
        <w:rPr>
          <w:noProof/>
          <w:sz w:val="22"/>
          <w:szCs w:val="22"/>
        </w:rPr>
        <w:drawing>
          <wp:inline distT="0" distB="0" distL="0" distR="0" wp14:anchorId="651A0060" wp14:editId="1336A075">
            <wp:extent cx="5486400" cy="3488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X 3.tiff"/>
                    <pic:cNvPicPr/>
                  </pic:nvPicPr>
                  <pic:blipFill>
                    <a:blip r:embed="rId18">
                      <a:extLst>
                        <a:ext uri="{28A0092B-C50C-407E-A947-70E740481C1C}">
                          <a14:useLocalDpi xmlns:a14="http://schemas.microsoft.com/office/drawing/2010/main" val="0"/>
                        </a:ext>
                      </a:extLst>
                    </a:blip>
                    <a:stretch>
                      <a:fillRect/>
                    </a:stretch>
                  </pic:blipFill>
                  <pic:spPr>
                    <a:xfrm>
                      <a:off x="0" y="0"/>
                      <a:ext cx="5486400" cy="3488690"/>
                    </a:xfrm>
                    <a:prstGeom prst="rect">
                      <a:avLst/>
                    </a:prstGeom>
                  </pic:spPr>
                </pic:pic>
              </a:graphicData>
            </a:graphic>
          </wp:inline>
        </w:drawing>
      </w:r>
    </w:p>
    <w:p w14:paraId="0B15E0B5" w14:textId="77777777" w:rsidR="00FB2629" w:rsidRPr="00FB2629" w:rsidRDefault="00FB2629" w:rsidP="00FB2629">
      <w:pPr>
        <w:pStyle w:val="Default"/>
        <w:rPr>
          <w:sz w:val="22"/>
          <w:szCs w:val="22"/>
        </w:rPr>
      </w:pPr>
    </w:p>
    <w:p w14:paraId="248F2A1E" w14:textId="77777777" w:rsidR="005154DC" w:rsidRPr="005154DC" w:rsidRDefault="005154DC" w:rsidP="005154DC">
      <w:pPr>
        <w:pStyle w:val="ListParagraph"/>
        <w:widowControl w:val="0"/>
        <w:autoSpaceDE w:val="0"/>
        <w:autoSpaceDN w:val="0"/>
        <w:adjustRightInd w:val="0"/>
        <w:ind w:left="1440"/>
        <w:rPr>
          <w:rFonts w:ascii="Times New Roman" w:hAnsi="Times New Roman" w:cs="Times New Roman"/>
          <w:color w:val="000000"/>
        </w:rPr>
      </w:pPr>
    </w:p>
    <w:p w14:paraId="21B72BBE" w14:textId="77777777" w:rsidR="00FB2629" w:rsidRDefault="00FB2629">
      <w:pPr>
        <w:rPr>
          <w:rFonts w:ascii="Times New Roman" w:hAnsi="Times New Roman" w:cs="Times New Roman"/>
          <w:b/>
          <w:color w:val="000000"/>
          <w:sz w:val="22"/>
          <w:szCs w:val="22"/>
          <w:u w:val="single"/>
        </w:rPr>
      </w:pPr>
      <w:r>
        <w:rPr>
          <w:b/>
          <w:sz w:val="22"/>
          <w:szCs w:val="22"/>
          <w:u w:val="single"/>
        </w:rPr>
        <w:br w:type="page"/>
      </w:r>
    </w:p>
    <w:p w14:paraId="150C76CA" w14:textId="4F12DD0D" w:rsidR="008228E5" w:rsidRDefault="008228E5" w:rsidP="008228E5">
      <w:pPr>
        <w:pStyle w:val="Default"/>
        <w:rPr>
          <w:b/>
          <w:sz w:val="22"/>
          <w:szCs w:val="22"/>
          <w:u w:val="single"/>
        </w:rPr>
      </w:pPr>
      <w:r>
        <w:rPr>
          <w:b/>
          <w:sz w:val="22"/>
          <w:szCs w:val="22"/>
          <w:u w:val="single"/>
        </w:rPr>
        <w:t xml:space="preserve">Keys to </w:t>
      </w:r>
      <w:r w:rsidR="00FB2629">
        <w:rPr>
          <w:b/>
          <w:sz w:val="22"/>
          <w:szCs w:val="22"/>
          <w:u w:val="single"/>
        </w:rPr>
        <w:t>FAST</w:t>
      </w:r>
      <w:r>
        <w:rPr>
          <w:b/>
          <w:sz w:val="22"/>
          <w:szCs w:val="22"/>
          <w:u w:val="single"/>
        </w:rPr>
        <w:t xml:space="preserve"> Ultrasound</w:t>
      </w:r>
    </w:p>
    <w:p w14:paraId="39BB95A2" w14:textId="41FA0471" w:rsidR="00CF0AA4" w:rsidRPr="00CF0AA4" w:rsidRDefault="00CF0AA4" w:rsidP="00CF0AA4">
      <w:pPr>
        <w:pStyle w:val="Default"/>
        <w:numPr>
          <w:ilvl w:val="0"/>
          <w:numId w:val="19"/>
        </w:numPr>
        <w:rPr>
          <w:b/>
          <w:sz w:val="22"/>
          <w:szCs w:val="22"/>
          <w:u w:val="single"/>
        </w:rPr>
      </w:pPr>
      <w:proofErr w:type="spellStart"/>
      <w:r w:rsidRPr="00CF0AA4">
        <w:rPr>
          <w:sz w:val="22"/>
          <w:szCs w:val="22"/>
        </w:rPr>
        <w:t>Trendelenburg</w:t>
      </w:r>
      <w:proofErr w:type="spellEnd"/>
      <w:r w:rsidRPr="00CF0AA4">
        <w:rPr>
          <w:sz w:val="22"/>
          <w:szCs w:val="22"/>
        </w:rPr>
        <w:t xml:space="preserve"> and sitting position may increase the sensitivity of the ultrasound exam for abnormal fluid in the right upper quadrant and pelvis, respectively. Serial trauma EUS may be performed in response to changes in the patient’s condition, to check for the development of previously undetectable volumes of free fluid or for purposes of ongoing monitoring, as indicated clinically.</w:t>
      </w:r>
    </w:p>
    <w:p w14:paraId="37BB850D" w14:textId="77777777" w:rsidR="005154DC" w:rsidRDefault="005154DC" w:rsidP="005154DC">
      <w:pPr>
        <w:pStyle w:val="Default"/>
        <w:rPr>
          <w:sz w:val="22"/>
          <w:szCs w:val="22"/>
        </w:rPr>
      </w:pPr>
    </w:p>
    <w:p w14:paraId="01EEE1A5" w14:textId="77777777" w:rsidR="005154DC" w:rsidRPr="008A7A27" w:rsidRDefault="005154DC" w:rsidP="005154DC">
      <w:pPr>
        <w:pStyle w:val="Default"/>
        <w:rPr>
          <w:b/>
          <w:i/>
          <w:sz w:val="22"/>
          <w:szCs w:val="22"/>
        </w:rPr>
      </w:pPr>
    </w:p>
    <w:p w14:paraId="439D444B" w14:textId="77777777" w:rsidR="00A94F05" w:rsidRPr="005154DC" w:rsidRDefault="00B13AF3" w:rsidP="005154DC">
      <w:pPr>
        <w:pStyle w:val="Default"/>
        <w:rPr>
          <w:b/>
          <w:sz w:val="22"/>
          <w:szCs w:val="22"/>
          <w:u w:val="single"/>
        </w:rPr>
      </w:pPr>
      <w:r w:rsidRPr="005154DC">
        <w:rPr>
          <w:b/>
          <w:sz w:val="22"/>
          <w:szCs w:val="22"/>
          <w:u w:val="single"/>
        </w:rPr>
        <w:t xml:space="preserve">Pitfalls </w:t>
      </w:r>
    </w:p>
    <w:p w14:paraId="60C02879" w14:textId="77777777" w:rsidR="00D53996" w:rsidRPr="00D53996" w:rsidRDefault="00D53996" w:rsidP="00D53996">
      <w:pPr>
        <w:widowControl w:val="0"/>
        <w:autoSpaceDE w:val="0"/>
        <w:autoSpaceDN w:val="0"/>
        <w:adjustRightInd w:val="0"/>
        <w:rPr>
          <w:rFonts w:ascii="Times New Roman" w:hAnsi="Times New Roman" w:cs="Times New Roman"/>
          <w:color w:val="000000"/>
        </w:rPr>
      </w:pPr>
    </w:p>
    <w:p w14:paraId="22691C53"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Pr>
          <w:rFonts w:ascii="Times New Roman" w:hAnsi="Times New Roman" w:cs="Times New Roman"/>
          <w:color w:val="000000"/>
          <w:sz w:val="22"/>
          <w:szCs w:val="22"/>
        </w:rPr>
        <w:t xml:space="preserve">When </w:t>
      </w:r>
      <w:r w:rsidRPr="00C0375B">
        <w:rPr>
          <w:rFonts w:ascii="Times New Roman" w:hAnsi="Times New Roman" w:cs="Times New Roman"/>
          <w:color w:val="000000"/>
          <w:sz w:val="22"/>
          <w:szCs w:val="22"/>
        </w:rPr>
        <w:t xml:space="preserve">bowel gas or other technical factors prevent a complete or adequate exam, these limitations should be identified and documented. As usual in emergency practice, such limitations may mandate further evaluation by alternative methods, as clinically indicated. </w:t>
      </w:r>
    </w:p>
    <w:p w14:paraId="24B99892" w14:textId="585F0FE6"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Most studies show that peritoneal free fluid is not identified by EUS until at least </w:t>
      </w:r>
      <w:r w:rsidR="00780DDC">
        <w:rPr>
          <w:rFonts w:ascii="Times New Roman" w:hAnsi="Times New Roman" w:cs="Times New Roman"/>
          <w:color w:val="000000"/>
          <w:sz w:val="22"/>
          <w:szCs w:val="22"/>
        </w:rPr>
        <w:t>200-</w:t>
      </w:r>
      <w:r w:rsidRPr="00C0375B">
        <w:rPr>
          <w:rFonts w:ascii="Times New Roman" w:hAnsi="Times New Roman" w:cs="Times New Roman"/>
          <w:color w:val="000000"/>
          <w:sz w:val="22"/>
          <w:szCs w:val="22"/>
        </w:rPr>
        <w:t xml:space="preserve">500 ml is present. Thus, a negative exam does not preclude early or slowly bleeding injuries. </w:t>
      </w:r>
    </w:p>
    <w:p w14:paraId="5C736E93"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Some injuries may not give rise to free fluid and may therefore easily be missed by trauma EUS. These include contained solid organ injuries, mesenteric vascular injuries, hollow </w:t>
      </w:r>
      <w:proofErr w:type="spellStart"/>
      <w:r w:rsidRPr="00C0375B">
        <w:rPr>
          <w:rFonts w:ascii="Times New Roman" w:hAnsi="Times New Roman" w:cs="Times New Roman"/>
          <w:color w:val="000000"/>
          <w:sz w:val="22"/>
          <w:szCs w:val="22"/>
        </w:rPr>
        <w:t>viscus</w:t>
      </w:r>
      <w:proofErr w:type="spellEnd"/>
      <w:r w:rsidRPr="00C0375B">
        <w:rPr>
          <w:rFonts w:ascii="Times New Roman" w:hAnsi="Times New Roman" w:cs="Times New Roman"/>
          <w:color w:val="000000"/>
          <w:sz w:val="22"/>
          <w:szCs w:val="22"/>
        </w:rPr>
        <w:t xml:space="preserve"> injuries, and diaphragmatic injuries. </w:t>
      </w:r>
    </w:p>
    <w:p w14:paraId="02B62BF8"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Non-traumatic fluid collections such as ascites, or pleural and pericardial effusions, which are due to antecedent medical conditions, may be mistakenly ascribed to trauma. Credible history and associated clinical findings, as well as the sonographic features of the free fluid may suggest such conditions. </w:t>
      </w:r>
    </w:p>
    <w:p w14:paraId="56F7F79E"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Trauma EUS does not specifically identify most solid organ injuries. </w:t>
      </w:r>
    </w:p>
    <w:p w14:paraId="304558A7"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EUS does not identify retroperitoneal hemorrhage. </w:t>
      </w:r>
    </w:p>
    <w:p w14:paraId="1F3404C2"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A negative trauma EUS is not accurate in excluding intra-abdominal injury after isolated penetrating trauma. </w:t>
      </w:r>
    </w:p>
    <w:p w14:paraId="5E2EA3C3"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Blood clots form rapidly in the peritoneum. Clotted blood has sonographic qualities similar to soft tissue, and may be overlooked. </w:t>
      </w:r>
    </w:p>
    <w:p w14:paraId="4A0B9729"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proofErr w:type="spellStart"/>
      <w:r w:rsidRPr="00C0375B">
        <w:rPr>
          <w:rFonts w:ascii="Times New Roman" w:hAnsi="Times New Roman" w:cs="Times New Roman"/>
          <w:color w:val="000000"/>
          <w:sz w:val="22"/>
          <w:szCs w:val="22"/>
        </w:rPr>
        <w:t>Perinephric</w:t>
      </w:r>
      <w:proofErr w:type="spellEnd"/>
      <w:r w:rsidRPr="00C0375B">
        <w:rPr>
          <w:rFonts w:ascii="Times New Roman" w:hAnsi="Times New Roman" w:cs="Times New Roman"/>
          <w:color w:val="000000"/>
          <w:sz w:val="22"/>
          <w:szCs w:val="22"/>
        </w:rPr>
        <w:t xml:space="preserve"> fat may be mistaken for </w:t>
      </w:r>
      <w:proofErr w:type="spellStart"/>
      <w:r w:rsidRPr="00C0375B">
        <w:rPr>
          <w:rFonts w:ascii="Times New Roman" w:hAnsi="Times New Roman" w:cs="Times New Roman"/>
          <w:color w:val="000000"/>
          <w:sz w:val="22"/>
          <w:szCs w:val="22"/>
        </w:rPr>
        <w:t>hemoperitoneum</w:t>
      </w:r>
      <w:proofErr w:type="spellEnd"/>
      <w:r w:rsidRPr="00C0375B">
        <w:rPr>
          <w:rFonts w:ascii="Times New Roman" w:hAnsi="Times New Roman" w:cs="Times New Roman"/>
          <w:color w:val="000000"/>
          <w:sz w:val="22"/>
          <w:szCs w:val="22"/>
        </w:rPr>
        <w:t xml:space="preserve">. </w:t>
      </w:r>
    </w:p>
    <w:p w14:paraId="2A0E2A1F"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Fluid in the stomach or bowel may be mistaken for </w:t>
      </w:r>
      <w:proofErr w:type="spellStart"/>
      <w:r w:rsidRPr="00C0375B">
        <w:rPr>
          <w:rFonts w:ascii="Times New Roman" w:hAnsi="Times New Roman" w:cs="Times New Roman"/>
          <w:color w:val="000000"/>
          <w:sz w:val="22"/>
          <w:szCs w:val="22"/>
        </w:rPr>
        <w:t>hemoperitoneum</w:t>
      </w:r>
      <w:proofErr w:type="spellEnd"/>
      <w:r w:rsidRPr="00C0375B">
        <w:rPr>
          <w:rFonts w:ascii="Times New Roman" w:hAnsi="Times New Roman" w:cs="Times New Roman"/>
          <w:color w:val="000000"/>
          <w:sz w:val="22"/>
          <w:szCs w:val="22"/>
        </w:rPr>
        <w:t xml:space="preserve">. </w:t>
      </w:r>
    </w:p>
    <w:p w14:paraId="0EF63E56"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Small </w:t>
      </w:r>
      <w:proofErr w:type="spellStart"/>
      <w:r w:rsidRPr="00C0375B">
        <w:rPr>
          <w:rFonts w:ascii="Times New Roman" w:hAnsi="Times New Roman" w:cs="Times New Roman"/>
          <w:color w:val="000000"/>
          <w:sz w:val="22"/>
          <w:szCs w:val="22"/>
        </w:rPr>
        <w:t>hemothoraces</w:t>
      </w:r>
      <w:proofErr w:type="spellEnd"/>
      <w:r w:rsidRPr="00C0375B">
        <w:rPr>
          <w:rFonts w:ascii="Times New Roman" w:hAnsi="Times New Roman" w:cs="Times New Roman"/>
          <w:color w:val="000000"/>
          <w:sz w:val="22"/>
          <w:szCs w:val="22"/>
        </w:rPr>
        <w:t xml:space="preserve"> may be missed in the supine position. </w:t>
      </w:r>
    </w:p>
    <w:p w14:paraId="089479BB"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In the evaluation of the pericardium, </w:t>
      </w:r>
      <w:proofErr w:type="spellStart"/>
      <w:r w:rsidRPr="00C0375B">
        <w:rPr>
          <w:rFonts w:ascii="Times New Roman" w:hAnsi="Times New Roman" w:cs="Times New Roman"/>
          <w:color w:val="000000"/>
          <w:sz w:val="22"/>
          <w:szCs w:val="22"/>
        </w:rPr>
        <w:t>epicardial</w:t>
      </w:r>
      <w:proofErr w:type="spellEnd"/>
      <w:r w:rsidRPr="00C0375B">
        <w:rPr>
          <w:rFonts w:ascii="Times New Roman" w:hAnsi="Times New Roman" w:cs="Times New Roman"/>
          <w:color w:val="000000"/>
          <w:sz w:val="22"/>
          <w:szCs w:val="22"/>
        </w:rPr>
        <w:t xml:space="preserve"> fat pads, pericardial cysts, and the descending aorta have been mistaken for free fluid. </w:t>
      </w:r>
    </w:p>
    <w:p w14:paraId="2BA37763" w14:textId="77777777" w:rsid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Patients with peritoneal or pleural adhesions with significant hemorrhage may not develop free fluid in the normal locations. </w:t>
      </w:r>
    </w:p>
    <w:p w14:paraId="756CFFA7" w14:textId="3927CA96" w:rsidR="00C0375B" w:rsidRPr="00C0375B" w:rsidRDefault="00C0375B" w:rsidP="00C0375B">
      <w:pPr>
        <w:pStyle w:val="ListParagraph"/>
        <w:widowControl w:val="0"/>
        <w:numPr>
          <w:ilvl w:val="0"/>
          <w:numId w:val="18"/>
        </w:numPr>
        <w:autoSpaceDE w:val="0"/>
        <w:autoSpaceDN w:val="0"/>
        <w:adjustRightInd w:val="0"/>
        <w:spacing w:after="21"/>
        <w:ind w:left="1620"/>
        <w:rPr>
          <w:rFonts w:ascii="Times New Roman" w:hAnsi="Times New Roman" w:cs="Times New Roman"/>
          <w:color w:val="000000"/>
          <w:sz w:val="22"/>
          <w:szCs w:val="22"/>
        </w:rPr>
      </w:pPr>
      <w:r w:rsidRPr="00C0375B">
        <w:rPr>
          <w:rFonts w:ascii="Times New Roman" w:hAnsi="Times New Roman" w:cs="Times New Roman"/>
          <w:color w:val="000000"/>
          <w:sz w:val="22"/>
          <w:szCs w:val="22"/>
        </w:rPr>
        <w:t xml:space="preserve">In the </w:t>
      </w:r>
      <w:proofErr w:type="spellStart"/>
      <w:r w:rsidRPr="00C0375B">
        <w:rPr>
          <w:rFonts w:ascii="Times New Roman" w:hAnsi="Times New Roman" w:cs="Times New Roman"/>
          <w:color w:val="000000"/>
          <w:sz w:val="22"/>
          <w:szCs w:val="22"/>
        </w:rPr>
        <w:t>suprapubic</w:t>
      </w:r>
      <w:proofErr w:type="spellEnd"/>
      <w:r w:rsidRPr="00C0375B">
        <w:rPr>
          <w:rFonts w:ascii="Times New Roman" w:hAnsi="Times New Roman" w:cs="Times New Roman"/>
          <w:color w:val="000000"/>
          <w:sz w:val="22"/>
          <w:szCs w:val="22"/>
        </w:rPr>
        <w:t xml:space="preserve"> view, posterior acoustic enhancement caused by the bladder can result in pelvic free fluid being overlooked. Gain settings should be adjusted accordingly. </w:t>
      </w:r>
    </w:p>
    <w:p w14:paraId="00F5DE67" w14:textId="7D0AC814" w:rsidR="00C0375B" w:rsidRPr="00C0375B" w:rsidRDefault="00C0375B" w:rsidP="00C0375B">
      <w:pPr>
        <w:pStyle w:val="ListParagraph"/>
        <w:widowControl w:val="0"/>
        <w:autoSpaceDE w:val="0"/>
        <w:autoSpaceDN w:val="0"/>
        <w:adjustRightInd w:val="0"/>
        <w:spacing w:after="21"/>
        <w:ind w:left="1620"/>
        <w:rPr>
          <w:rFonts w:ascii="Times New Roman" w:hAnsi="Times New Roman" w:cs="Times New Roman"/>
          <w:color w:val="000000"/>
          <w:sz w:val="22"/>
          <w:szCs w:val="22"/>
        </w:rPr>
      </w:pPr>
    </w:p>
    <w:p w14:paraId="63A14FE8" w14:textId="77777777" w:rsidR="00DA6DEE" w:rsidRPr="00DA6DEE" w:rsidRDefault="00DA6DEE" w:rsidP="00D53996"/>
    <w:sectPr w:rsidR="00DA6DEE" w:rsidRPr="00DA6DEE" w:rsidSect="000C01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Unicode MS">
    <w:altName w:val="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A1B68"/>
    <w:multiLevelType w:val="hybridMultilevel"/>
    <w:tmpl w:val="DFDCA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324FAA"/>
    <w:multiLevelType w:val="hybridMultilevel"/>
    <w:tmpl w:val="3D0206F2"/>
    <w:lvl w:ilvl="0" w:tplc="57689366">
      <w:start w:val="1"/>
      <w:numFmt w:val="lowerLetter"/>
      <w:lvlText w:val="%1."/>
      <w:lvlJc w:val="right"/>
      <w:pPr>
        <w:ind w:left="2160" w:hanging="18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2673653"/>
    <w:multiLevelType w:val="hybridMultilevel"/>
    <w:tmpl w:val="BA40A842"/>
    <w:lvl w:ilvl="0" w:tplc="0409000F">
      <w:start w:val="1"/>
      <w:numFmt w:val="decimal"/>
      <w:lvlText w:val="%1."/>
      <w:lvlJc w:val="left"/>
      <w:pPr>
        <w:ind w:left="720" w:hanging="360"/>
      </w:pPr>
    </w:lvl>
    <w:lvl w:ilvl="1" w:tplc="9266B812">
      <w:start w:val="1"/>
      <w:numFmt w:val="lowerLetter"/>
      <w:lvlText w:val="%2."/>
      <w:lvlJc w:val="left"/>
      <w:pPr>
        <w:ind w:left="1440" w:hanging="360"/>
      </w:pPr>
      <w:rPr>
        <w:rFonts w:hint="default"/>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1254E3"/>
    <w:multiLevelType w:val="hybridMultilevel"/>
    <w:tmpl w:val="C0E6AE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1301B6"/>
    <w:multiLevelType w:val="hybridMultilevel"/>
    <w:tmpl w:val="A564741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3C7914"/>
    <w:multiLevelType w:val="hybridMultilevel"/>
    <w:tmpl w:val="DFDCA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C452F0"/>
    <w:multiLevelType w:val="hybridMultilevel"/>
    <w:tmpl w:val="6B6A34A0"/>
    <w:lvl w:ilvl="0" w:tplc="0409000F">
      <w:start w:val="1"/>
      <w:numFmt w:val="decimal"/>
      <w:lvlText w:val="%1."/>
      <w:lvlJc w:val="left"/>
      <w:pPr>
        <w:ind w:left="720" w:hanging="360"/>
      </w:pPr>
    </w:lvl>
    <w:lvl w:ilvl="1" w:tplc="54FCC15A">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D12B52"/>
    <w:multiLevelType w:val="hybridMultilevel"/>
    <w:tmpl w:val="A75CE8E8"/>
    <w:lvl w:ilvl="0" w:tplc="0409000F">
      <w:start w:val="1"/>
      <w:numFmt w:val="decimal"/>
      <w:lvlText w:val="%1."/>
      <w:lvlJc w:val="left"/>
      <w:pPr>
        <w:ind w:left="720" w:hanging="360"/>
      </w:pPr>
    </w:lvl>
    <w:lvl w:ilvl="1" w:tplc="3BE07DA2">
      <w:start w:val="1"/>
      <w:numFmt w:val="lowerLetter"/>
      <w:lvlText w:val="%2."/>
      <w:lvlJc w:val="left"/>
      <w:pPr>
        <w:ind w:left="1440" w:hanging="360"/>
      </w:pPr>
      <w:rPr>
        <w:rFonts w:hint="default"/>
        <w:b w:val="0"/>
        <w:i w:val="0"/>
      </w:rPr>
    </w:lvl>
    <w:lvl w:ilvl="2" w:tplc="DE9C9304">
      <w:start w:val="1"/>
      <w:numFmt w:val="lowerRoman"/>
      <w:lvlText w:val="%3."/>
      <w:lvlJc w:val="left"/>
      <w:pPr>
        <w:ind w:left="2340" w:hanging="360"/>
      </w:pPr>
      <w:rPr>
        <w:rFonts w:hint="default"/>
        <w:b w:val="0"/>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9F2DDA"/>
    <w:multiLevelType w:val="hybridMultilevel"/>
    <w:tmpl w:val="37D06E7C"/>
    <w:lvl w:ilvl="0" w:tplc="FE84C94E">
      <w:start w:val="1"/>
      <w:numFmt w:val="lowerLetter"/>
      <w:lvlText w:val="%1."/>
      <w:lvlJc w:val="righ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2E5533BE"/>
    <w:multiLevelType w:val="hybridMultilevel"/>
    <w:tmpl w:val="9D78A66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35BB0872"/>
    <w:multiLevelType w:val="hybridMultilevel"/>
    <w:tmpl w:val="7A0EFCB2"/>
    <w:lvl w:ilvl="0" w:tplc="02EA3712">
      <w:start w:val="1"/>
      <w:numFmt w:val="lowerLetter"/>
      <w:lvlText w:val="%1."/>
      <w:lvlJc w:val="left"/>
      <w:pPr>
        <w:ind w:left="14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8E1144"/>
    <w:multiLevelType w:val="hybridMultilevel"/>
    <w:tmpl w:val="076294A0"/>
    <w:lvl w:ilvl="0" w:tplc="04090019">
      <w:start w:val="1"/>
      <w:numFmt w:val="lowerLetter"/>
      <w:lvlText w:val="%1."/>
      <w:lvlJc w:val="left"/>
      <w:pPr>
        <w:ind w:left="720" w:hanging="360"/>
      </w:pPr>
      <w:rPr>
        <w:rFonts w:hint="default"/>
      </w:rPr>
    </w:lvl>
    <w:lvl w:ilvl="1" w:tplc="CF6CEB5C">
      <w:start w:val="1"/>
      <w:numFmt w:val="lowerRoman"/>
      <w:lvlText w:val="%2."/>
      <w:lvlJc w:val="left"/>
      <w:pPr>
        <w:ind w:left="1800" w:hanging="720"/>
      </w:pPr>
      <w:rPr>
        <w:rFonts w:hint="default"/>
      </w:rPr>
    </w:lvl>
    <w:lvl w:ilvl="2" w:tplc="3EEC315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A0F1EBC"/>
    <w:multiLevelType w:val="hybridMultilevel"/>
    <w:tmpl w:val="A56EE6B6"/>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b w:val="0"/>
        <w:i w:val="0"/>
      </w:rPr>
    </w:lvl>
    <w:lvl w:ilvl="2" w:tplc="46E670DE">
      <w:start w:val="1"/>
      <w:numFmt w:val="lowerRoman"/>
      <w:lvlText w:val="%3."/>
      <w:lvlJc w:val="right"/>
      <w:pPr>
        <w:ind w:left="2160" w:hanging="180"/>
      </w:pPr>
      <w:rPr>
        <w:b w:val="0"/>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2C2598D"/>
    <w:multiLevelType w:val="hybridMultilevel"/>
    <w:tmpl w:val="867EF268"/>
    <w:lvl w:ilvl="0" w:tplc="4B0C627C">
      <w:start w:val="4"/>
      <w:numFmt w:val="lowerLetter"/>
      <w:lvlText w:val="%1."/>
      <w:lvlJc w:val="left"/>
      <w:pPr>
        <w:ind w:left="14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8363ED"/>
    <w:multiLevelType w:val="hybridMultilevel"/>
    <w:tmpl w:val="7BD2BB9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EB9441E"/>
    <w:multiLevelType w:val="hybridMultilevel"/>
    <w:tmpl w:val="B43038D2"/>
    <w:lvl w:ilvl="0" w:tplc="04090019">
      <w:start w:val="1"/>
      <w:numFmt w:val="lowerLetter"/>
      <w:lvlText w:val="%1."/>
      <w:lvlJc w:val="left"/>
      <w:pPr>
        <w:ind w:left="1440" w:hanging="360"/>
      </w:p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5210770B"/>
    <w:multiLevelType w:val="hybridMultilevel"/>
    <w:tmpl w:val="5FF2380E"/>
    <w:lvl w:ilvl="0" w:tplc="0409000F">
      <w:start w:val="1"/>
      <w:numFmt w:val="decimal"/>
      <w:lvlText w:val="%1."/>
      <w:lvlJc w:val="left"/>
      <w:pPr>
        <w:ind w:left="720" w:hanging="360"/>
      </w:pPr>
    </w:lvl>
    <w:lvl w:ilvl="1" w:tplc="54BAEA4A">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2EA25C0"/>
    <w:multiLevelType w:val="hybridMultilevel"/>
    <w:tmpl w:val="F516FE0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62814360"/>
    <w:multiLevelType w:val="hybridMultilevel"/>
    <w:tmpl w:val="EF6CC1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16598F"/>
    <w:multiLevelType w:val="hybridMultilevel"/>
    <w:tmpl w:val="B352C51E"/>
    <w:lvl w:ilvl="0" w:tplc="04090019">
      <w:start w:val="1"/>
      <w:numFmt w:val="lowerLetter"/>
      <w:lvlText w:val="%1."/>
      <w:lvlJc w:val="left"/>
      <w:pPr>
        <w:ind w:left="720" w:hanging="360"/>
      </w:pPr>
    </w:lvl>
    <w:lvl w:ilvl="1" w:tplc="B1327628">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BF9769C"/>
    <w:multiLevelType w:val="hybridMultilevel"/>
    <w:tmpl w:val="2444A6E2"/>
    <w:lvl w:ilvl="0" w:tplc="B1D24204">
      <w:start w:val="6"/>
      <w:numFmt w:val="lowerLetter"/>
      <w:lvlText w:val="%1."/>
      <w:lvlJc w:val="left"/>
      <w:pPr>
        <w:ind w:left="1440" w:hanging="360"/>
      </w:pPr>
      <w:rPr>
        <w:rFonts w:hint="default"/>
        <w:b w:val="0"/>
        <w:i w:val="0"/>
      </w:rPr>
    </w:lvl>
    <w:lvl w:ilvl="1" w:tplc="1474F674">
      <w:start w:val="4"/>
      <w:numFmt w:val="lowerLetter"/>
      <w:lvlText w:val="%2."/>
      <w:lvlJc w:val="left"/>
      <w:pPr>
        <w:ind w:left="1440" w:hanging="360"/>
      </w:pPr>
      <w:rPr>
        <w:rFonts w:hint="default"/>
        <w:b w:val="0"/>
        <w:i w:val="0"/>
      </w:rPr>
    </w:lvl>
    <w:lvl w:ilvl="2" w:tplc="016279D8">
      <w:start w:val="1"/>
      <w:numFmt w:val="lowerRoman"/>
      <w:lvlText w:val="%3."/>
      <w:lvlJc w:val="left"/>
      <w:pPr>
        <w:ind w:left="2340" w:hanging="360"/>
      </w:pPr>
      <w:rPr>
        <w:rFonts w:hint="default"/>
        <w:b w:val="0"/>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1FC2AD2"/>
    <w:multiLevelType w:val="hybridMultilevel"/>
    <w:tmpl w:val="C4EAB836"/>
    <w:lvl w:ilvl="0" w:tplc="EC4EFF24">
      <w:start w:val="3"/>
      <w:numFmt w:val="lowerLetter"/>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1"/>
  </w:num>
  <w:num w:numId="3">
    <w:abstractNumId w:val="0"/>
  </w:num>
  <w:num w:numId="4">
    <w:abstractNumId w:val="5"/>
  </w:num>
  <w:num w:numId="5">
    <w:abstractNumId w:val="7"/>
  </w:num>
  <w:num w:numId="6">
    <w:abstractNumId w:val="6"/>
  </w:num>
  <w:num w:numId="7">
    <w:abstractNumId w:val="16"/>
  </w:num>
  <w:num w:numId="8">
    <w:abstractNumId w:val="18"/>
  </w:num>
  <w:num w:numId="9">
    <w:abstractNumId w:val="2"/>
  </w:num>
  <w:num w:numId="10">
    <w:abstractNumId w:val="12"/>
  </w:num>
  <w:num w:numId="11">
    <w:abstractNumId w:val="14"/>
  </w:num>
  <w:num w:numId="12">
    <w:abstractNumId w:val="10"/>
  </w:num>
  <w:num w:numId="13">
    <w:abstractNumId w:val="19"/>
  </w:num>
  <w:num w:numId="14">
    <w:abstractNumId w:val="9"/>
  </w:num>
  <w:num w:numId="15">
    <w:abstractNumId w:val="15"/>
  </w:num>
  <w:num w:numId="16">
    <w:abstractNumId w:val="3"/>
  </w:num>
  <w:num w:numId="17">
    <w:abstractNumId w:val="17"/>
  </w:num>
  <w:num w:numId="18">
    <w:abstractNumId w:val="1"/>
  </w:num>
  <w:num w:numId="19">
    <w:abstractNumId w:val="8"/>
  </w:num>
  <w:num w:numId="20">
    <w:abstractNumId w:val="13"/>
  </w:num>
  <w:num w:numId="21">
    <w:abstractNumId w:val="21"/>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DEE"/>
    <w:rsid w:val="000047F9"/>
    <w:rsid w:val="00031664"/>
    <w:rsid w:val="00080BEB"/>
    <w:rsid w:val="0009225F"/>
    <w:rsid w:val="000C0116"/>
    <w:rsid w:val="000F1745"/>
    <w:rsid w:val="001357AA"/>
    <w:rsid w:val="00160F15"/>
    <w:rsid w:val="00167D23"/>
    <w:rsid w:val="00180F9D"/>
    <w:rsid w:val="001E2566"/>
    <w:rsid w:val="002371B4"/>
    <w:rsid w:val="00265A83"/>
    <w:rsid w:val="00295205"/>
    <w:rsid w:val="0030153F"/>
    <w:rsid w:val="00313E4E"/>
    <w:rsid w:val="0041555E"/>
    <w:rsid w:val="004166A9"/>
    <w:rsid w:val="00423845"/>
    <w:rsid w:val="005154DC"/>
    <w:rsid w:val="00547D28"/>
    <w:rsid w:val="00567862"/>
    <w:rsid w:val="00583C22"/>
    <w:rsid w:val="00595D85"/>
    <w:rsid w:val="005F15C6"/>
    <w:rsid w:val="006727FE"/>
    <w:rsid w:val="006F19C2"/>
    <w:rsid w:val="006F1F5D"/>
    <w:rsid w:val="006F69CD"/>
    <w:rsid w:val="00750A5D"/>
    <w:rsid w:val="00780DDC"/>
    <w:rsid w:val="007D2A40"/>
    <w:rsid w:val="007F2B8C"/>
    <w:rsid w:val="008228E5"/>
    <w:rsid w:val="0082326C"/>
    <w:rsid w:val="0082374B"/>
    <w:rsid w:val="00875AF7"/>
    <w:rsid w:val="008849F1"/>
    <w:rsid w:val="008A7A27"/>
    <w:rsid w:val="009B4188"/>
    <w:rsid w:val="009D2E35"/>
    <w:rsid w:val="00A464FE"/>
    <w:rsid w:val="00A66893"/>
    <w:rsid w:val="00A71EE4"/>
    <w:rsid w:val="00A7779E"/>
    <w:rsid w:val="00A94F05"/>
    <w:rsid w:val="00AF7700"/>
    <w:rsid w:val="00B01194"/>
    <w:rsid w:val="00B13AF3"/>
    <w:rsid w:val="00B70B6B"/>
    <w:rsid w:val="00C0375B"/>
    <w:rsid w:val="00C319EB"/>
    <w:rsid w:val="00C728A7"/>
    <w:rsid w:val="00CA7A9C"/>
    <w:rsid w:val="00CF0AA4"/>
    <w:rsid w:val="00D53996"/>
    <w:rsid w:val="00D74408"/>
    <w:rsid w:val="00D8184D"/>
    <w:rsid w:val="00DA6DEE"/>
    <w:rsid w:val="00DD7D27"/>
    <w:rsid w:val="00E3251A"/>
    <w:rsid w:val="00E642A0"/>
    <w:rsid w:val="00E72F0F"/>
    <w:rsid w:val="00EA1D4B"/>
    <w:rsid w:val="00EF67E9"/>
    <w:rsid w:val="00F341A0"/>
    <w:rsid w:val="00F538F2"/>
    <w:rsid w:val="00F71BA6"/>
    <w:rsid w:val="00F90357"/>
    <w:rsid w:val="00FB2629"/>
    <w:rsid w:val="00FE17AB"/>
    <w:rsid w:val="00FE34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1050A5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F2B8C"/>
    <w:pPr>
      <w:ind w:left="720"/>
      <w:contextualSpacing/>
    </w:pPr>
  </w:style>
  <w:style w:type="paragraph" w:styleId="BalloonText">
    <w:name w:val="Balloon Text"/>
    <w:basedOn w:val="Normal"/>
    <w:link w:val="BalloonTextChar"/>
    <w:uiPriority w:val="99"/>
    <w:semiHidden/>
    <w:unhideWhenUsed/>
    <w:rsid w:val="00FB262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2629"/>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F2B8C"/>
    <w:pPr>
      <w:ind w:left="720"/>
      <w:contextualSpacing/>
    </w:pPr>
  </w:style>
  <w:style w:type="paragraph" w:styleId="BalloonText">
    <w:name w:val="Balloon Text"/>
    <w:basedOn w:val="Normal"/>
    <w:link w:val="BalloonTextChar"/>
    <w:uiPriority w:val="99"/>
    <w:semiHidden/>
    <w:unhideWhenUsed/>
    <w:rsid w:val="00FB262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262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20" Type="http://schemas.openxmlformats.org/officeDocument/2006/relationships/theme" Target="theme/theme1.xml"/><Relationship Id="rId10" Type="http://schemas.openxmlformats.org/officeDocument/2006/relationships/image" Target="media/image5.tiff"/><Relationship Id="rId11" Type="http://schemas.openxmlformats.org/officeDocument/2006/relationships/image" Target="media/image6.tiff"/><Relationship Id="rId12" Type="http://schemas.openxmlformats.org/officeDocument/2006/relationships/image" Target="media/image7.tiff"/><Relationship Id="rId13" Type="http://schemas.openxmlformats.org/officeDocument/2006/relationships/image" Target="media/image8.tiff"/><Relationship Id="rId14" Type="http://schemas.openxmlformats.org/officeDocument/2006/relationships/image" Target="media/image9.tiff"/><Relationship Id="rId15" Type="http://schemas.openxmlformats.org/officeDocument/2006/relationships/image" Target="media/image10.tiff"/><Relationship Id="rId16" Type="http://schemas.openxmlformats.org/officeDocument/2006/relationships/image" Target="media/image11.tiff"/><Relationship Id="rId17" Type="http://schemas.openxmlformats.org/officeDocument/2006/relationships/image" Target="media/image12.tiff"/><Relationship Id="rId18" Type="http://schemas.openxmlformats.org/officeDocument/2006/relationships/image" Target="media/image13.tiff"/><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12</Pages>
  <Words>1302</Words>
  <Characters>7426</Characters>
  <Application>Microsoft Macintosh Word</Application>
  <DocSecurity>0</DocSecurity>
  <Lines>61</Lines>
  <Paragraphs>17</Paragraphs>
  <ScaleCrop>false</ScaleCrop>
  <Company>UCSF</Company>
  <LinksUpToDate>false</LinksUpToDate>
  <CharactersWithSpaces>8711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Roneesha  Knight</dc:creator>
  <cp:keywords/>
  <dc:description/>
  <cp:lastModifiedBy>Roneesha  Knight</cp:lastModifiedBy>
  <cp:revision>27</cp:revision>
  <dcterms:created xsi:type="dcterms:W3CDTF">2015-11-09T02:22:00Z</dcterms:created>
  <dcterms:modified xsi:type="dcterms:W3CDTF">2015-11-10T18:53:00Z</dcterms:modified>
</cp:coreProperties>
</file>